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9"/>
          <w:tab w:val="right" w:pos="7943"/>
          <w:tab w:val="right" w:pos="9645"/>
        </w:tabs>
        <w:spacing w:after="0"/>
        <w:ind w:right="2"/>
        <w:jc w:val="left"/>
        <w:rPr>
          <w:rFonts w:ascii="Arial" w:hAnsi="Arial" w:cs="Arial"/>
          <w:b/>
          <w:sz w:val="24"/>
          <w:szCs w:val="24"/>
        </w:rPr>
      </w:pPr>
      <w:bookmarkStart w:id="0" w:name="_Ref494746248"/>
      <w:r>
        <w:rPr>
          <w:rFonts w:ascii="Arial" w:hAnsi="Arial" w:eastAsia="Batang" w:cs="Arial"/>
          <w:b/>
          <w:sz w:val="24"/>
          <w:szCs w:val="24"/>
          <w:lang w:eastAsia="zh-CN" w:bidi="ar"/>
        </w:rPr>
        <w:t>3GPP TSG RAN WG1 #110</w:t>
      </w:r>
      <w:r>
        <w:rPr>
          <w:rFonts w:ascii="Arial" w:hAnsi="Arial" w:eastAsia="Batang" w:cs="Arial"/>
          <w:b/>
          <w:sz w:val="24"/>
          <w:szCs w:val="24"/>
          <w:lang w:eastAsia="zh-CN" w:bidi="ar"/>
        </w:rPr>
        <w:tab/>
      </w:r>
      <w:r>
        <w:rPr>
          <w:rFonts w:ascii="Arial" w:hAnsi="Arial" w:eastAsia="Batang" w:cs="Arial"/>
          <w:b/>
          <w:sz w:val="24"/>
          <w:szCs w:val="24"/>
          <w:lang w:eastAsia="zh-CN" w:bidi="ar"/>
        </w:rPr>
        <w:tab/>
      </w:r>
      <w:r>
        <w:rPr>
          <w:rFonts w:ascii="Arial" w:hAnsi="Arial" w:eastAsia="Batang" w:cs="Arial"/>
          <w:b/>
          <w:sz w:val="24"/>
          <w:szCs w:val="24"/>
          <w:lang w:eastAsia="zh-CN" w:bidi="ar"/>
        </w:rPr>
        <w:tab/>
      </w:r>
      <w:r>
        <w:rPr>
          <w:rFonts w:ascii="Arial" w:hAnsi="Arial" w:eastAsia="Batang" w:cs="Arial"/>
          <w:b/>
          <w:sz w:val="24"/>
          <w:szCs w:val="24"/>
          <w:lang w:eastAsia="zh-CN" w:bidi="ar"/>
        </w:rPr>
        <w:t>R1-2207045</w:t>
      </w:r>
    </w:p>
    <w:p>
      <w:pPr>
        <w:tabs>
          <w:tab w:val="center" w:pos="4539"/>
          <w:tab w:val="right" w:pos="9078"/>
        </w:tabs>
        <w:spacing w:after="0"/>
        <w:jc w:val="left"/>
        <w:rPr>
          <w:rFonts w:ascii="Arial" w:hAnsi="Arial" w:eastAsia="MS Mincho" w:cs="Arial"/>
          <w:b/>
          <w:sz w:val="24"/>
          <w:szCs w:val="24"/>
        </w:rPr>
      </w:pPr>
      <w:r>
        <w:rPr>
          <w:rFonts w:ascii="Arial" w:hAnsi="Arial" w:eastAsia="MS Mincho" w:cs="Arial"/>
          <w:b/>
          <w:sz w:val="24"/>
          <w:szCs w:val="24"/>
          <w:lang w:eastAsia="zh-CN" w:bidi="ar"/>
        </w:rPr>
        <w:t>Toulouse, France, August 22</w:t>
      </w:r>
      <w:r>
        <w:rPr>
          <w:rFonts w:ascii="Arial" w:hAnsi="Arial" w:eastAsia="MS Mincho" w:cs="Arial"/>
          <w:b/>
          <w:sz w:val="24"/>
          <w:szCs w:val="24"/>
          <w:vertAlign w:val="superscript"/>
          <w:lang w:eastAsia="zh-CN" w:bidi="ar"/>
        </w:rPr>
        <w:t>nd</w:t>
      </w:r>
      <w:r>
        <w:rPr>
          <w:rFonts w:ascii="Arial" w:hAnsi="Arial" w:eastAsia="MS Mincho" w:cs="Arial"/>
          <w:b/>
          <w:sz w:val="24"/>
          <w:szCs w:val="24"/>
          <w:lang w:eastAsia="zh-CN" w:bidi="ar"/>
        </w:rPr>
        <w:t xml:space="preserve"> – 26</w:t>
      </w:r>
      <w:r>
        <w:rPr>
          <w:rFonts w:ascii="Arial" w:hAnsi="Arial" w:eastAsia="MS Mincho" w:cs="Arial"/>
          <w:b/>
          <w:sz w:val="24"/>
          <w:szCs w:val="24"/>
          <w:vertAlign w:val="superscript"/>
          <w:lang w:eastAsia="zh-CN" w:bidi="ar"/>
        </w:rPr>
        <w:t>th</w:t>
      </w:r>
      <w:r>
        <w:rPr>
          <w:rFonts w:ascii="Arial" w:hAnsi="Arial" w:eastAsia="MS Mincho" w:cs="Arial"/>
          <w:b/>
          <w:sz w:val="24"/>
          <w:szCs w:val="24"/>
          <w:lang w:eastAsia="zh-CN" w:bidi="ar"/>
        </w:rPr>
        <w:t>, 2022</w:t>
      </w:r>
    </w:p>
    <w:p>
      <w:pPr>
        <w:tabs>
          <w:tab w:val="left" w:pos="1985"/>
        </w:tabs>
        <w:spacing w:after="0"/>
        <w:rPr>
          <w:rFonts w:ascii="Arial" w:hAnsi="Arial"/>
          <w:b/>
          <w:sz w:val="22"/>
          <w:szCs w:val="22"/>
        </w:rPr>
      </w:pPr>
    </w:p>
    <w:p>
      <w:pPr>
        <w:tabs>
          <w:tab w:val="left" w:pos="1985"/>
        </w:tabs>
        <w:spacing w:after="0"/>
        <w:rPr>
          <w:rFonts w:ascii="Arial" w:hAnsi="Arial"/>
          <w:b/>
          <w:sz w:val="22"/>
          <w:szCs w:val="22"/>
          <w:lang w:eastAsia="zh-CN"/>
        </w:rPr>
      </w:pPr>
      <w:r>
        <w:rPr>
          <w:rFonts w:ascii="Arial" w:hAnsi="Arial"/>
          <w:b/>
          <w:sz w:val="22"/>
          <w:szCs w:val="22"/>
        </w:rPr>
        <w:t xml:space="preserve">Source: </w:t>
      </w:r>
      <w:r>
        <w:rPr>
          <w:rFonts w:ascii="Arial" w:hAnsi="Arial"/>
          <w:b/>
          <w:sz w:val="22"/>
          <w:szCs w:val="22"/>
        </w:rPr>
        <w:tab/>
      </w:r>
      <w:r>
        <w:rPr>
          <w:rFonts w:ascii="Arial" w:hAnsi="Arial"/>
          <w:b/>
          <w:sz w:val="22"/>
          <w:szCs w:val="22"/>
        </w:rPr>
        <w:t>ZTE</w:t>
      </w:r>
      <w:r>
        <w:rPr>
          <w:rFonts w:hint="eastAsia" w:ascii="Arial" w:hAnsi="Arial"/>
          <w:b/>
          <w:sz w:val="22"/>
          <w:szCs w:val="22"/>
          <w:lang w:eastAsia="zh-CN"/>
        </w:rPr>
        <w:t>, Sanechips</w:t>
      </w:r>
    </w:p>
    <w:p>
      <w:pPr>
        <w:spacing w:after="0"/>
        <w:ind w:left="1988" w:hanging="1988"/>
        <w:rPr>
          <w:rFonts w:ascii="Arial" w:hAnsi="Arial"/>
          <w:b/>
          <w:sz w:val="22"/>
          <w:szCs w:val="22"/>
          <w:lang w:eastAsia="zh-CN"/>
        </w:rPr>
      </w:pPr>
      <w:r>
        <w:rPr>
          <w:rFonts w:ascii="Arial" w:hAnsi="Arial"/>
          <w:b/>
          <w:sz w:val="22"/>
          <w:szCs w:val="22"/>
        </w:rPr>
        <w:t xml:space="preserve">Title: </w:t>
      </w:r>
      <w:r>
        <w:rPr>
          <w:rFonts w:ascii="Arial" w:hAnsi="Arial"/>
          <w:b/>
          <w:sz w:val="22"/>
          <w:szCs w:val="22"/>
        </w:rPr>
        <w:tab/>
      </w:r>
      <w:r>
        <w:rPr>
          <w:rFonts w:hint="eastAsia" w:ascii="Arial" w:hAnsi="Arial"/>
          <w:b/>
          <w:sz w:val="22"/>
          <w:szCs w:val="22"/>
        </w:rPr>
        <w:t xml:space="preserve">Discussion on </w:t>
      </w:r>
      <w:r>
        <w:rPr>
          <w:rFonts w:hint="eastAsia" w:ascii="Arial" w:hAnsi="Arial"/>
          <w:b/>
          <w:sz w:val="22"/>
          <w:szCs w:val="22"/>
          <w:lang w:eastAsia="zh-CN"/>
        </w:rPr>
        <w:t>RedCap remaining issues</w:t>
      </w:r>
    </w:p>
    <w:p>
      <w:pPr>
        <w:tabs>
          <w:tab w:val="left" w:pos="1985"/>
        </w:tabs>
        <w:spacing w:after="0"/>
        <w:rPr>
          <w:rFonts w:ascii="Arial" w:hAnsi="Arial"/>
          <w:b/>
          <w:sz w:val="22"/>
          <w:szCs w:val="22"/>
          <w:lang w:eastAsia="zh-CN"/>
        </w:rPr>
      </w:pPr>
      <w:r>
        <w:rPr>
          <w:rFonts w:ascii="Arial" w:hAnsi="Arial"/>
          <w:b/>
          <w:sz w:val="22"/>
          <w:szCs w:val="22"/>
        </w:rPr>
        <w:t>Agenda item:</w:t>
      </w:r>
      <w:r>
        <w:rPr>
          <w:rFonts w:ascii="Arial" w:hAnsi="Arial"/>
          <w:b/>
          <w:sz w:val="22"/>
          <w:szCs w:val="22"/>
        </w:rPr>
        <w:tab/>
      </w:r>
      <w:r>
        <w:rPr>
          <w:rFonts w:hint="eastAsia" w:ascii="Arial" w:hAnsi="Arial"/>
          <w:b/>
          <w:sz w:val="22"/>
          <w:szCs w:val="22"/>
          <w:lang w:eastAsia="zh-CN"/>
        </w:rPr>
        <w:t>8.6</w:t>
      </w:r>
    </w:p>
    <w:p>
      <w:pPr>
        <w:spacing w:after="240"/>
        <w:ind w:left="1990" w:hanging="1990"/>
        <w:rPr>
          <w:rFonts w:ascii="Arial" w:hAnsi="Arial"/>
          <w:b/>
          <w:sz w:val="22"/>
          <w:szCs w:val="22"/>
        </w:rPr>
      </w:pPr>
      <w:r>
        <w:rPr>
          <w:rFonts w:ascii="Arial" w:hAnsi="Arial"/>
          <w:b/>
          <w:sz w:val="22"/>
          <w:szCs w:val="22"/>
        </w:rPr>
        <w:t>Document for:</w:t>
      </w:r>
      <w:r>
        <w:rPr>
          <w:rFonts w:ascii="Arial" w:hAnsi="Arial"/>
          <w:b/>
          <w:sz w:val="22"/>
          <w:szCs w:val="22"/>
        </w:rPr>
        <w:tab/>
      </w:r>
      <w:bookmarkStart w:id="1" w:name="DocumentFor"/>
      <w:bookmarkEnd w:id="1"/>
      <w:r>
        <w:rPr>
          <w:rFonts w:ascii="Arial" w:hAnsi="Arial"/>
          <w:b/>
          <w:sz w:val="22"/>
          <w:szCs w:val="22"/>
        </w:rPr>
        <w:t>Discussion/Decision</w:t>
      </w:r>
    </w:p>
    <w:p>
      <w:pPr>
        <w:pStyle w:val="2"/>
        <w:textAlignment w:val="auto"/>
      </w:pPr>
      <w:bookmarkStart w:id="2" w:name="_Ref4817"/>
      <w:r>
        <w:t>Introduction</w:t>
      </w:r>
      <w:bookmarkEnd w:id="0"/>
      <w:bookmarkEnd w:id="2"/>
    </w:p>
    <w:p>
      <w:pPr>
        <w:rPr>
          <w:lang w:eastAsia="zh-CN"/>
        </w:rPr>
      </w:pPr>
      <w:r>
        <w:rPr>
          <w:rFonts w:hint="eastAsia"/>
          <w:lang w:eastAsia="zh-CN"/>
        </w:rPr>
        <w:t xml:space="preserve">According to the </w:t>
      </w:r>
      <w:bookmarkStart w:id="5" w:name="_GoBack"/>
      <w:bookmarkEnd w:id="5"/>
      <w:r>
        <w:rPr>
          <w:rFonts w:hint="eastAsia"/>
          <w:lang w:eastAsia="zh-CN"/>
        </w:rPr>
        <w:t>RAN1</w:t>
      </w:r>
      <w:r>
        <w:rPr>
          <w:lang w:eastAsia="zh-CN"/>
        </w:rPr>
        <w:t>#</w:t>
      </w:r>
      <w:r>
        <w:rPr>
          <w:rFonts w:hint="eastAsia"/>
          <w:lang w:eastAsia="zh-CN"/>
        </w:rPr>
        <w:t>109e meeting discussion</w:t>
      </w:r>
      <w:r>
        <w:rPr>
          <w:rFonts w:hint="eastAsia"/>
          <w:vertAlign w:val="superscript"/>
          <w:lang w:eastAsia="zh-CN"/>
        </w:rPr>
        <w:t>[1]</w:t>
      </w:r>
      <w:r>
        <w:rPr>
          <w:rFonts w:hint="eastAsia"/>
          <w:lang w:eastAsia="zh-CN"/>
        </w:rPr>
        <w:t>, some RedCap remaining issues are still need to be further discussed.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14"/>
              <w:numPr>
                <w:ilvl w:val="0"/>
                <w:numId w:val="9"/>
              </w:numPr>
              <w:spacing w:before="120" w:line="280" w:lineRule="atLeast"/>
              <w:rPr>
                <w:rFonts w:ascii="New York" w:hAnsi="New York"/>
                <w:lang w:val="en-US"/>
              </w:rPr>
            </w:pPr>
            <w:r>
              <w:rPr>
                <w:rFonts w:hint="eastAsia" w:ascii="New York" w:hAnsi="New York"/>
                <w:lang w:val="en-US"/>
              </w:rPr>
              <w:t>Clarification of case when initial DL BWP is wider than maximum UE bandwidth [3, 4, 5, 7, 8, 9, 14, 16, 18, 20, 22, 23, 24, 25, 27, 28, 29, 32]</w:t>
            </w:r>
          </w:p>
          <w:p>
            <w:pPr>
              <w:pStyle w:val="114"/>
              <w:numPr>
                <w:ilvl w:val="0"/>
                <w:numId w:val="9"/>
              </w:numPr>
              <w:spacing w:before="120" w:line="280" w:lineRule="atLeast"/>
              <w:rPr>
                <w:rFonts w:ascii="New York" w:hAnsi="New York"/>
                <w:lang w:val="en-US"/>
              </w:rPr>
            </w:pPr>
            <w:r>
              <w:rPr>
                <w:rFonts w:hint="eastAsia" w:ascii="New York" w:hAnsi="New York"/>
                <w:lang w:val="en-US"/>
              </w:rPr>
              <w:t>SSB presence in separate initial DL BWP in connected mode for BWP configuration option 1 [5, 7, 8, 9, 11, 14, 16, 18, 20, 22, 23, 24, 25, 27, 28, 29, 32]</w:t>
            </w:r>
          </w:p>
          <w:p>
            <w:pPr>
              <w:pStyle w:val="114"/>
              <w:numPr>
                <w:ilvl w:val="0"/>
                <w:numId w:val="9"/>
              </w:numPr>
              <w:spacing w:before="120" w:line="280" w:lineRule="atLeast"/>
              <w:rPr>
                <w:rFonts w:ascii="New York" w:hAnsi="New York"/>
                <w:lang w:val="en-US"/>
              </w:rPr>
            </w:pPr>
            <w:r>
              <w:rPr>
                <w:rFonts w:hint="eastAsia" w:ascii="New York" w:hAnsi="New York"/>
                <w:lang w:val="en-US"/>
              </w:rPr>
              <w:t>Corrections for BWP operation description in 38.213 clause 17.1 [5, 7, 9, 18, 22, 26, 28]</w:t>
            </w:r>
          </w:p>
          <w:p>
            <w:pPr>
              <w:pStyle w:val="114"/>
              <w:numPr>
                <w:ilvl w:val="0"/>
                <w:numId w:val="9"/>
              </w:numPr>
              <w:spacing w:before="120" w:line="280" w:lineRule="atLeast"/>
              <w:rPr>
                <w:rFonts w:ascii="New York" w:hAnsi="New York"/>
                <w:lang w:val="en-US"/>
              </w:rPr>
            </w:pPr>
            <w:r>
              <w:rPr>
                <w:rFonts w:hint="eastAsia" w:ascii="New York" w:hAnsi="New York"/>
                <w:lang w:val="en-US"/>
              </w:rPr>
              <w:t>Center frequency alignment for TDD [4, 11, 22, 25, 29]</w:t>
            </w:r>
          </w:p>
          <w:p>
            <w:pPr>
              <w:pStyle w:val="114"/>
              <w:numPr>
                <w:ilvl w:val="0"/>
                <w:numId w:val="9"/>
              </w:numPr>
              <w:spacing w:before="120" w:line="280" w:lineRule="atLeast"/>
              <w:rPr>
                <w:rFonts w:ascii="New York" w:hAnsi="New York"/>
                <w:lang w:val="en-US"/>
              </w:rPr>
            </w:pPr>
            <w:r>
              <w:rPr>
                <w:rFonts w:hint="eastAsia" w:ascii="New York" w:hAnsi="New York"/>
                <w:lang w:val="en-US"/>
              </w:rPr>
              <w:t>RIV for Msg3 frequency resource allocation [4]</w:t>
            </w:r>
          </w:p>
          <w:p>
            <w:pPr>
              <w:pStyle w:val="114"/>
              <w:numPr>
                <w:ilvl w:val="0"/>
                <w:numId w:val="9"/>
              </w:numPr>
              <w:spacing w:before="120" w:line="280" w:lineRule="atLeast"/>
              <w:rPr>
                <w:rFonts w:ascii="New York" w:hAnsi="New York"/>
                <w:lang w:val="en-US"/>
              </w:rPr>
            </w:pPr>
            <w:r>
              <w:rPr>
                <w:rFonts w:hint="eastAsia" w:ascii="New York" w:hAnsi="New York"/>
                <w:lang w:val="en-US"/>
              </w:rPr>
              <w:t>Collision handling between SSB and Msg2/Msg4/Type1-CCS [11]</w:t>
            </w:r>
          </w:p>
          <w:p>
            <w:pPr>
              <w:pStyle w:val="114"/>
              <w:numPr>
                <w:ilvl w:val="0"/>
                <w:numId w:val="9"/>
              </w:numPr>
              <w:spacing w:before="120" w:line="280" w:lineRule="atLeast"/>
              <w:rPr>
                <w:rFonts w:ascii="New York" w:hAnsi="New York"/>
                <w:lang w:val="en-US"/>
              </w:rPr>
            </w:pPr>
            <w:r>
              <w:rPr>
                <w:rFonts w:hint="eastAsia" w:ascii="New York" w:hAnsi="New York"/>
                <w:lang w:val="en-US"/>
              </w:rPr>
              <w:t>Paging/Msg2/Msg4 configuration in shared initial DL BWP [12]</w:t>
            </w:r>
          </w:p>
          <w:p>
            <w:pPr>
              <w:pStyle w:val="114"/>
              <w:numPr>
                <w:ilvl w:val="0"/>
                <w:numId w:val="9"/>
              </w:numPr>
              <w:spacing w:before="120" w:line="280" w:lineRule="atLeast"/>
              <w:rPr>
                <w:rFonts w:ascii="New York" w:hAnsi="New York"/>
                <w:lang w:val="en-US"/>
              </w:rPr>
            </w:pPr>
            <w:r>
              <w:rPr>
                <w:rFonts w:hint="eastAsia" w:ascii="New York" w:hAnsi="New York"/>
                <w:lang w:val="en-US"/>
              </w:rPr>
              <w:t>Collision handling between SIB and other PDSCH [13]</w:t>
            </w:r>
          </w:p>
          <w:p>
            <w:pPr>
              <w:pStyle w:val="114"/>
              <w:numPr>
                <w:ilvl w:val="0"/>
                <w:numId w:val="9"/>
              </w:numPr>
              <w:spacing w:before="120" w:line="280" w:lineRule="atLeast"/>
              <w:rPr>
                <w:rFonts w:ascii="New York" w:hAnsi="New York"/>
                <w:lang w:val="en-US"/>
              </w:rPr>
            </w:pPr>
            <w:r>
              <w:rPr>
                <w:rFonts w:hint="eastAsia" w:ascii="New York" w:hAnsi="New York"/>
                <w:lang w:val="en-US"/>
              </w:rPr>
              <w:t>Maximum number of separate initial DL BWPs and determination of default DL BWP [15]</w:t>
            </w:r>
          </w:p>
          <w:p>
            <w:pPr>
              <w:pStyle w:val="114"/>
              <w:numPr>
                <w:ilvl w:val="0"/>
                <w:numId w:val="9"/>
              </w:numPr>
              <w:spacing w:before="120" w:line="280" w:lineRule="atLeast"/>
              <w:rPr>
                <w:rFonts w:ascii="New York" w:hAnsi="New York"/>
                <w:lang w:val="en-US"/>
              </w:rPr>
            </w:pPr>
            <w:r>
              <w:rPr>
                <w:rFonts w:hint="eastAsia" w:ascii="New York" w:hAnsi="New York"/>
                <w:lang w:val="en-US"/>
              </w:rPr>
              <w:t>Ask RAN2 to capture paging monitoring in idle/inactive/connected mode [28]</w:t>
            </w:r>
          </w:p>
          <w:p>
            <w:pPr>
              <w:pStyle w:val="114"/>
              <w:numPr>
                <w:ilvl w:val="0"/>
                <w:numId w:val="9"/>
              </w:numPr>
              <w:spacing w:before="120" w:line="280" w:lineRule="atLeast"/>
              <w:rPr>
                <w:rFonts w:ascii="New York" w:hAnsi="New York"/>
                <w:lang w:val="en-US"/>
              </w:rPr>
            </w:pPr>
            <w:r>
              <w:rPr>
                <w:rFonts w:hint="eastAsia" w:ascii="New York" w:hAnsi="New York"/>
                <w:lang w:val="en-US"/>
              </w:rPr>
              <w:t>Clarifications of interaction between RedCap and SDT features [31]</w:t>
            </w:r>
          </w:p>
          <w:p>
            <w:pPr>
              <w:pStyle w:val="114"/>
              <w:numPr>
                <w:ilvl w:val="0"/>
                <w:numId w:val="9"/>
              </w:numPr>
              <w:spacing w:before="120" w:line="280" w:lineRule="atLeast"/>
              <w:rPr>
                <w:rFonts w:ascii="New York" w:hAnsi="New York"/>
                <w:szCs w:val="20"/>
                <w:lang w:eastAsia="zh-CN"/>
              </w:rPr>
            </w:pPr>
            <w:r>
              <w:rPr>
                <w:rFonts w:hint="eastAsia" w:ascii="New York" w:hAnsi="New York"/>
                <w:lang w:val="en-US"/>
              </w:rPr>
              <w:t>Collision handling between NCD-SSB and PDSCH/PDCCH [9]</w:t>
            </w:r>
          </w:p>
        </w:tc>
      </w:tr>
    </w:tbl>
    <w:p>
      <w:pPr>
        <w:rPr>
          <w:lang w:eastAsia="zh-CN"/>
        </w:rPr>
      </w:pPr>
    </w:p>
    <w:p>
      <w:pPr>
        <w:rPr>
          <w:lang w:eastAsia="zh-CN"/>
        </w:rPr>
      </w:pPr>
      <w:r>
        <w:rPr>
          <w:rFonts w:hint="eastAsia"/>
          <w:lang w:eastAsia="zh-CN"/>
        </w:rPr>
        <w:t>In this contribution, we discuss some of the above issues and also discuss some other important aspects related to CORESET#0 presence and NCD-SSB.</w:t>
      </w:r>
    </w:p>
    <w:p>
      <w:pPr>
        <w:pStyle w:val="2"/>
        <w:rPr>
          <w:lang w:val="en-US" w:eastAsia="zh-CN"/>
        </w:rPr>
      </w:pPr>
      <w:r>
        <w:rPr>
          <w:rFonts w:hint="eastAsia"/>
          <w:lang w:val="en-US" w:eastAsia="zh-CN"/>
        </w:rPr>
        <w:t>Discussions</w:t>
      </w:r>
    </w:p>
    <w:p>
      <w:pPr>
        <w:pStyle w:val="3"/>
        <w:rPr>
          <w:lang w:val="en-US" w:eastAsia="zh-CN"/>
        </w:rPr>
      </w:pPr>
      <w:r>
        <w:rPr>
          <w:rFonts w:hint="eastAsia"/>
          <w:lang w:val="en-US" w:eastAsia="zh-CN"/>
        </w:rPr>
        <w:t>SDT procedure</w:t>
      </w:r>
    </w:p>
    <w:p>
      <w:pPr>
        <w:rPr>
          <w:lang w:eastAsia="zh-CN"/>
        </w:rPr>
      </w:pPr>
      <w:r>
        <w:rPr>
          <w:rFonts w:hint="eastAsia"/>
          <w:lang w:eastAsia="zh-CN"/>
        </w:rPr>
        <w:t xml:space="preserve">According to the RAN2 agreement, during the SDT procedure, the </w:t>
      </w:r>
      <w:r>
        <w:rPr>
          <w:rFonts w:hint="eastAsia" w:eastAsia="等线"/>
          <w:lang w:val="en-GB" w:eastAsia="en-GB"/>
        </w:rPr>
        <w:t>UE</w:t>
      </w:r>
      <w:r>
        <w:rPr>
          <w:rFonts w:hint="eastAsia" w:eastAsia="等线"/>
          <w:lang w:eastAsia="zh-CN"/>
        </w:rPr>
        <w:t xml:space="preserve"> need to</w:t>
      </w:r>
      <w:r>
        <w:rPr>
          <w:rFonts w:hint="eastAsia" w:eastAsia="等线"/>
          <w:lang w:val="en-GB" w:eastAsia="en-GB"/>
        </w:rPr>
        <w:t xml:space="preserve"> monitor SI change indication </w:t>
      </w:r>
      <w:r>
        <w:rPr>
          <w:rFonts w:hint="eastAsia" w:eastAsia="等线"/>
          <w:lang w:eastAsia="zh-CN"/>
        </w:rPr>
        <w:t>once at least</w:t>
      </w:r>
      <w:r>
        <w:rPr>
          <w:rFonts w:hint="eastAsia" w:eastAsia="等线"/>
          <w:lang w:val="en-GB" w:eastAsia="en-GB"/>
        </w:rPr>
        <w:t xml:space="preserve"> per modification period</w:t>
      </w:r>
      <w:r>
        <w:rPr>
          <w:rFonts w:eastAsia="等线"/>
          <w:lang w:val="en-GB" w:eastAsia="en-GB"/>
        </w:rPr>
        <w:t>.</w:t>
      </w:r>
    </w:p>
    <w:tbl>
      <w:tblPr>
        <w:tblStyle w:val="51"/>
        <w:tblpPr w:leftFromText="180" w:rightFromText="180" w:vertAnchor="text" w:horzAnchor="margin" w:tblpY="1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trPr>
        <w:tc>
          <w:tcPr>
            <w:tcW w:w="9307" w:type="dxa"/>
          </w:tcPr>
          <w:p>
            <w:pPr>
              <w:widowControl w:val="0"/>
              <w:tabs>
                <w:tab w:val="left" w:pos="772"/>
              </w:tabs>
              <w:spacing w:before="0" w:after="0" w:line="280" w:lineRule="atLeast"/>
              <w:rPr>
                <w:rFonts w:ascii="New York" w:hAnsi="New York"/>
                <w:b/>
                <w:bCs/>
                <w:u w:val="single"/>
                <w:lang w:eastAsia="zh-CN"/>
              </w:rPr>
            </w:pPr>
            <w:r>
              <w:rPr>
                <w:rFonts w:hint="eastAsia" w:ascii="New York" w:hAnsi="New York"/>
                <w:b/>
                <w:bCs/>
                <w:u w:val="single"/>
              </w:rPr>
              <w:t>Agreement for SDT</w:t>
            </w:r>
            <w:r>
              <w:rPr>
                <w:rFonts w:hint="eastAsia" w:ascii="New York" w:hAnsi="New York"/>
                <w:b/>
                <w:bCs/>
                <w:u w:val="single"/>
                <w:lang w:eastAsia="zh-CN"/>
              </w:rPr>
              <w:t xml:space="preserve"> in </w:t>
            </w:r>
            <w:r>
              <w:rPr>
                <w:rFonts w:hint="eastAsia" w:ascii="New York" w:hAnsi="New York"/>
                <w:b/>
                <w:bCs/>
                <w:u w:val="single"/>
              </w:rPr>
              <w:t>RAN2#116b-e</w:t>
            </w:r>
          </w:p>
          <w:p>
            <w:pPr>
              <w:widowControl w:val="0"/>
              <w:tabs>
                <w:tab w:val="left" w:pos="772"/>
              </w:tabs>
              <w:spacing w:before="0" w:after="0" w:line="280" w:lineRule="atLeast"/>
              <w:rPr>
                <w:rFonts w:ascii="New York" w:hAnsi="New York"/>
                <w:b/>
                <w:bCs/>
                <w:u w:val="single"/>
              </w:rPr>
            </w:pPr>
          </w:p>
          <w:p>
            <w:pPr>
              <w:widowControl w:val="0"/>
              <w:spacing w:before="0" w:line="280" w:lineRule="atLeast"/>
              <w:jc w:val="left"/>
              <w:rPr>
                <w:rFonts w:ascii="New York" w:hAnsi="New York" w:eastAsia="等线"/>
                <w:lang w:val="en-GB" w:eastAsia="en-GB"/>
              </w:rPr>
            </w:pPr>
            <w:r>
              <w:rPr>
                <w:rFonts w:hint="eastAsia" w:ascii="New York" w:hAnsi="New York" w:eastAsia="等线"/>
                <w:lang w:val="en-GB" w:eastAsia="en-GB"/>
              </w:rPr>
              <w:t>9.</w:t>
            </w:r>
            <w:r>
              <w:rPr>
                <w:rFonts w:hint="eastAsia" w:ascii="New York" w:hAnsi="New York" w:eastAsia="等线"/>
                <w:lang w:val="en-GB" w:eastAsia="en-GB"/>
              </w:rPr>
              <w:tab/>
            </w:r>
            <w:r>
              <w:rPr>
                <w:rFonts w:hint="eastAsia" w:ascii="New York" w:hAnsi="New York" w:eastAsia="等线"/>
                <w:lang w:val="en-GB" w:eastAsia="en-GB"/>
              </w:rPr>
              <w:t xml:space="preserve">During the SDT procedure (i.e. while SDT timer is running), UE monitors SI change indication in any paging occasion at least once per modification period (i.e. same as legacy RRC_CONNECTED). </w:t>
            </w:r>
          </w:p>
          <w:p>
            <w:pPr>
              <w:widowControl w:val="0"/>
              <w:spacing w:before="0" w:line="280" w:lineRule="atLeast"/>
              <w:jc w:val="left"/>
              <w:rPr>
                <w:rFonts w:ascii="New York" w:hAnsi="New York"/>
                <w:lang w:val="en-GB"/>
              </w:rPr>
            </w:pPr>
            <w:r>
              <w:rPr>
                <w:rFonts w:hint="eastAsia" w:ascii="New York" w:hAnsi="New York" w:eastAsia="等线"/>
                <w:lang w:val="en-GB" w:eastAsia="en-GB"/>
              </w:rPr>
              <w:t>10.</w:t>
            </w:r>
            <w:r>
              <w:rPr>
                <w:rFonts w:hint="eastAsia" w:ascii="New York" w:hAnsi="New York" w:eastAsia="等线"/>
                <w:lang w:val="en-GB" w:eastAsia="en-GB"/>
              </w:rPr>
              <w:tab/>
            </w:r>
            <w:r>
              <w:rPr>
                <w:rFonts w:hint="eastAsia" w:ascii="New York" w:hAnsi="New York" w:eastAsia="等线"/>
                <w:lang w:val="en-GB" w:eastAsia="en-GB"/>
              </w:rPr>
              <w:t>During the SDT procedure (i.e. while SDT timer is running), ETWS or CMAS capable Ues monitors PWS notification in any paging occasion at least once every defaultPagingCycle (i.e. same as legacy RRC_CONNECTED).</w:t>
            </w:r>
          </w:p>
        </w:tc>
      </w:tr>
    </w:tbl>
    <w:p>
      <w:pPr>
        <w:rPr>
          <w:lang w:eastAsia="zh-CN"/>
        </w:rPr>
      </w:pPr>
    </w:p>
    <w:p>
      <w:pPr>
        <w:rPr>
          <w:lang w:eastAsia="zh-CN"/>
        </w:rPr>
      </w:pPr>
      <w:r>
        <w:rPr>
          <w:rFonts w:hint="eastAsia"/>
          <w:lang w:eastAsia="zh-CN"/>
        </w:rPr>
        <w:t>For RedCap UE, if the separate initial DL BWP is configured and CD-SSB is not contained, whether and how to retune to the legacy initial DL BWP to receive paging still need to be determined.</w:t>
      </w:r>
    </w:p>
    <w:tbl>
      <w:tblPr>
        <w:tblStyle w:val="51"/>
        <w:tblpPr w:leftFromText="180" w:rightFromText="180" w:vertAnchor="text" w:horzAnchor="margin" w:tblpY="1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9307" w:type="dxa"/>
          </w:tcPr>
          <w:p>
            <w:pPr>
              <w:widowControl w:val="0"/>
              <w:tabs>
                <w:tab w:val="left" w:pos="772"/>
              </w:tabs>
              <w:spacing w:before="120" w:after="0" w:line="280" w:lineRule="atLeast"/>
              <w:rPr>
                <w:rFonts w:ascii="New York" w:hAnsi="New York"/>
                <w:bCs/>
                <w:highlight w:val="green"/>
                <w:lang w:eastAsia="zh-CN"/>
              </w:rPr>
            </w:pPr>
            <w:r>
              <w:rPr>
                <w:rFonts w:hint="eastAsia" w:ascii="New York" w:hAnsi="New York"/>
                <w:b/>
                <w:bCs/>
                <w:u w:val="single"/>
              </w:rPr>
              <w:t>Agreement for SDT</w:t>
            </w:r>
            <w:r>
              <w:rPr>
                <w:rFonts w:hint="eastAsia" w:ascii="New York" w:hAnsi="New York"/>
                <w:b/>
                <w:bCs/>
                <w:u w:val="single"/>
                <w:lang w:eastAsia="zh-CN"/>
              </w:rPr>
              <w:t xml:space="preserve"> in </w:t>
            </w:r>
            <w:r>
              <w:rPr>
                <w:rFonts w:hint="eastAsia" w:ascii="New York" w:hAnsi="New York"/>
                <w:b/>
                <w:bCs/>
                <w:u w:val="single"/>
              </w:rPr>
              <w:t>RAN1#108-e</w:t>
            </w:r>
          </w:p>
          <w:p>
            <w:pPr>
              <w:widowControl w:val="0"/>
              <w:spacing w:before="120" w:after="0" w:line="280" w:lineRule="atLeast"/>
              <w:jc w:val="left"/>
              <w:rPr>
                <w:rFonts w:ascii="New York" w:hAnsi="New York" w:eastAsia="等线"/>
                <w:lang w:val="en-GB" w:eastAsia="en-GB"/>
              </w:rPr>
            </w:pPr>
            <w:r>
              <w:rPr>
                <w:rFonts w:hint="eastAsia" w:ascii="New York" w:hAnsi="New York" w:eastAsia="等线"/>
                <w:lang w:val="en-GB" w:eastAsia="en-GB"/>
              </w:rPr>
              <w:t>RAN1 confirms that the separate BWP in case of RedCap may still be considered as the initial BWP and SDT resources(both CG-SDT and RA-SDT) can hence be configured on this BWP for RedCap UEs.</w:t>
            </w:r>
          </w:p>
          <w:p>
            <w:pPr>
              <w:pStyle w:val="114"/>
              <w:widowControl w:val="0"/>
              <w:numPr>
                <w:ilvl w:val="0"/>
                <w:numId w:val="10"/>
              </w:numPr>
              <w:overflowPunct w:val="0"/>
              <w:spacing w:before="120" w:after="180" w:line="280" w:lineRule="atLeast"/>
              <w:ind w:left="738"/>
              <w:jc w:val="left"/>
              <w:textAlignment w:val="baseline"/>
              <w:rPr>
                <w:rFonts w:ascii="New York" w:hAnsi="New York"/>
                <w:szCs w:val="20"/>
              </w:rPr>
            </w:pPr>
            <w:r>
              <w:rPr>
                <w:rFonts w:hint="eastAsia" w:ascii="New York" w:hAnsi="New York" w:eastAsia="等线"/>
                <w:szCs w:val="20"/>
                <w:lang w:eastAsia="en-GB"/>
              </w:rPr>
              <w:t>Note: details can be further studied to ensure proper functionality of RedCap UE performing SDT.</w:t>
            </w:r>
          </w:p>
        </w:tc>
      </w:tr>
    </w:tbl>
    <w:p>
      <w:pPr>
        <w:rPr>
          <w:lang w:eastAsia="zh-CN"/>
        </w:rPr>
      </w:pPr>
    </w:p>
    <w:p>
      <w:pPr>
        <w:rPr>
          <w:lang w:eastAsia="zh-CN"/>
        </w:rPr>
      </w:pPr>
      <w:r>
        <w:rPr>
          <w:lang w:eastAsia="zh-CN"/>
        </w:rPr>
        <w:t>In general</w:t>
      </w:r>
      <w:r>
        <w:rPr>
          <w:rFonts w:hint="eastAsia"/>
          <w:lang w:eastAsia="zh-CN"/>
        </w:rPr>
        <w:t xml:space="preserve">, there are two </w:t>
      </w:r>
      <w:r>
        <w:rPr>
          <w:lang w:eastAsia="zh-CN"/>
        </w:rPr>
        <w:t>options</w:t>
      </w:r>
      <w:r>
        <w:rPr>
          <w:rFonts w:hint="eastAsia"/>
          <w:lang w:eastAsia="zh-CN"/>
        </w:rPr>
        <w:t xml:space="preserve"> to be considered to minimize the spec impacts:</w:t>
      </w:r>
    </w:p>
    <w:p>
      <w:pPr>
        <w:rPr>
          <w:lang w:eastAsia="zh-CN"/>
        </w:rPr>
      </w:pPr>
      <w:r>
        <w:rPr>
          <w:lang w:eastAsia="zh-CN"/>
        </w:rPr>
        <w:t>Option</w:t>
      </w:r>
      <w:r>
        <w:rPr>
          <w:rFonts w:hint="eastAsia"/>
          <w:lang w:eastAsia="zh-CN"/>
        </w:rPr>
        <w:t xml:space="preserve"> 1: if SDT is configured for RedCap UE, the separate initial DL BWP without CD-SSB would not be configured.</w:t>
      </w:r>
    </w:p>
    <w:p>
      <w:pPr>
        <w:rPr>
          <w:lang w:eastAsia="zh-CN"/>
        </w:rPr>
      </w:pPr>
      <w:r>
        <w:rPr>
          <w:lang w:eastAsia="zh-CN"/>
        </w:rPr>
        <w:t xml:space="preserve">Option </w:t>
      </w:r>
      <w:r>
        <w:rPr>
          <w:rFonts w:hint="eastAsia"/>
          <w:lang w:eastAsia="zh-CN"/>
        </w:rPr>
        <w:t>2: if the separate initial DL BWP without CD-SSB is configured, during the SDT procedure, whether and how to receive paging depends on the UE and gNB implementation.</w:t>
      </w:r>
    </w:p>
    <w:p>
      <w:pPr>
        <w:rPr>
          <w:rFonts w:eastAsia="等线"/>
          <w:lang w:eastAsia="zh-CN"/>
        </w:rPr>
      </w:pPr>
      <w:r>
        <w:rPr>
          <w:rFonts w:hint="eastAsia"/>
          <w:lang w:eastAsia="zh-CN"/>
        </w:rPr>
        <w:t xml:space="preserve">For </w:t>
      </w:r>
      <w:r>
        <w:rPr>
          <w:lang w:eastAsia="zh-CN"/>
        </w:rPr>
        <w:t xml:space="preserve">Option </w:t>
      </w:r>
      <w:r>
        <w:rPr>
          <w:rFonts w:hint="eastAsia"/>
          <w:lang w:eastAsia="zh-CN"/>
        </w:rPr>
        <w:t>2, there are some examples for implementation. T</w:t>
      </w:r>
      <w:r>
        <w:rPr>
          <w:rFonts w:hint="eastAsia" w:eastAsia="等线"/>
          <w:lang w:eastAsia="zh-CN"/>
        </w:rPr>
        <w:t>he gNB can avoid configuring the scheduling when the paging occasion is coming. Also, the UE can decide when to start the SDT procedure and keep</w:t>
      </w:r>
      <w:r>
        <w:rPr>
          <w:rFonts w:eastAsia="等线"/>
          <w:lang w:eastAsia="zh-CN"/>
        </w:rPr>
        <w:t xml:space="preserve"> </w:t>
      </w:r>
      <w:r>
        <w:rPr>
          <w:rFonts w:hint="eastAsia" w:eastAsia="等线"/>
          <w:lang w:eastAsia="zh-CN"/>
        </w:rPr>
        <w:t>SDT staggered with the PO. Moreover, even if the UE receive</w:t>
      </w:r>
      <w:r>
        <w:rPr>
          <w:rFonts w:eastAsia="等线"/>
          <w:lang w:eastAsia="zh-CN"/>
        </w:rPr>
        <w:t>s</w:t>
      </w:r>
      <w:r>
        <w:rPr>
          <w:rFonts w:hint="eastAsia" w:eastAsia="等线"/>
          <w:lang w:eastAsia="zh-CN"/>
        </w:rPr>
        <w:t xml:space="preserve"> the paging while missing the gNB scheduling, the DTX mechanism still works. </w:t>
      </w:r>
    </w:p>
    <w:p>
      <w:pPr>
        <w:rPr>
          <w:lang w:eastAsia="zh-CN"/>
        </w:rPr>
      </w:pPr>
      <w:r>
        <w:rPr>
          <w:rFonts w:hint="eastAsia"/>
          <w:lang w:eastAsia="zh-CN"/>
        </w:rPr>
        <w:t xml:space="preserve">Therefore, from our perspective, regardless of whether separate initial DL BWP is configured, or whether separate initial DL BWP contains the CD-SSB, gNB implementation and UE implementation still can be applicable. </w:t>
      </w:r>
    </w:p>
    <w:p>
      <w:pPr>
        <w:rPr>
          <w:rFonts w:eastAsia="等线"/>
          <w:b/>
          <w:bCs/>
          <w:i/>
          <w:iCs/>
          <w:lang w:eastAsia="zh-CN"/>
        </w:rPr>
      </w:pPr>
      <w:r>
        <w:rPr>
          <w:rFonts w:hint="eastAsia"/>
          <w:b/>
          <w:bCs/>
          <w:i/>
          <w:iCs/>
          <w:lang w:eastAsia="zh-CN"/>
        </w:rPr>
        <w:t xml:space="preserve">Proposal 1: During SDT procedure in separate initial DL BWP, whether/how </w:t>
      </w:r>
      <w:r>
        <w:rPr>
          <w:rFonts w:hint="eastAsia"/>
          <w:b/>
          <w:bCs/>
          <w:i/>
          <w:iCs/>
          <w:lang w:val="en-US" w:eastAsia="zh-CN"/>
        </w:rPr>
        <w:t xml:space="preserve">a </w:t>
      </w:r>
      <w:r>
        <w:rPr>
          <w:rFonts w:hint="eastAsia"/>
          <w:b/>
          <w:bCs/>
          <w:i/>
          <w:iCs/>
          <w:lang w:eastAsia="zh-CN"/>
        </w:rPr>
        <w:t>UE</w:t>
      </w:r>
      <w:r>
        <w:rPr>
          <w:rFonts w:hint="eastAsia" w:eastAsia="等线"/>
          <w:b/>
          <w:bCs/>
          <w:i/>
          <w:iCs/>
          <w:lang w:val="en-GB" w:eastAsia="en-GB"/>
        </w:rPr>
        <w:t xml:space="preserve"> monitors SI change indication</w:t>
      </w:r>
      <w:r>
        <w:rPr>
          <w:rFonts w:hint="eastAsia" w:eastAsia="等线"/>
          <w:b/>
          <w:bCs/>
          <w:i/>
          <w:iCs/>
          <w:lang w:eastAsia="zh-CN"/>
        </w:rPr>
        <w:t xml:space="preserve"> can be up to implementation.</w:t>
      </w:r>
    </w:p>
    <w:p>
      <w:pPr>
        <w:rPr>
          <w:lang w:eastAsia="zh-CN"/>
        </w:rPr>
      </w:pPr>
    </w:p>
    <w:p>
      <w:pPr>
        <w:pStyle w:val="3"/>
        <w:rPr>
          <w:lang w:val="en-US" w:eastAsia="zh-CN"/>
        </w:rPr>
      </w:pPr>
      <w:r>
        <w:rPr>
          <w:rFonts w:hint="eastAsia"/>
          <w:lang w:val="en-US" w:eastAsia="zh-CN"/>
        </w:rPr>
        <w:t>SSB and CORESET#0 in separate initial DL BWP</w:t>
      </w:r>
    </w:p>
    <w:p>
      <w:pPr>
        <w:rPr>
          <w:lang w:eastAsia="zh-CN"/>
        </w:rPr>
      </w:pPr>
      <w:r>
        <w:rPr>
          <w:rFonts w:hint="eastAsia"/>
          <w:lang w:eastAsia="zh-CN"/>
        </w:rPr>
        <w:t>According to the discussion in RAN1</w:t>
      </w:r>
      <w:r>
        <w:rPr>
          <w:lang w:eastAsia="zh-CN"/>
        </w:rPr>
        <w:t>#</w:t>
      </w:r>
      <w:r>
        <w:rPr>
          <w:rFonts w:hint="eastAsia"/>
          <w:lang w:eastAsia="zh-CN"/>
        </w:rPr>
        <w:t xml:space="preserve">107e, we have the following agreement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hd w:val="clear" w:color="auto" w:fill="FFFFFF"/>
              <w:spacing w:before="0" w:after="0" w:line="280" w:lineRule="atLeast"/>
              <w:jc w:val="left"/>
              <w:rPr>
                <w:rFonts w:ascii="New York" w:hAnsi="New York"/>
                <w:color w:val="000000"/>
                <w:highlight w:val="green"/>
                <w:lang w:eastAsia="zh-CN"/>
              </w:rPr>
            </w:pPr>
            <w:r>
              <w:rPr>
                <w:rFonts w:ascii="New York" w:hAnsi="New York"/>
                <w:color w:val="000000"/>
                <w:shd w:val="clear" w:color="auto" w:fill="FFFFFF"/>
                <w:lang w:eastAsia="zh-CN" w:bidi="ar"/>
              </w:rPr>
              <w:t> </w:t>
            </w:r>
            <w:r>
              <w:rPr>
                <w:rFonts w:ascii="New York" w:hAnsi="New York"/>
                <w:color w:val="000000"/>
                <w:highlight w:val="green"/>
                <w:shd w:val="clear" w:color="auto" w:fill="FFFF00"/>
                <w:lang w:eastAsia="zh-CN" w:bidi="ar"/>
              </w:rPr>
              <w:t>Agreement:</w:t>
            </w:r>
            <w:r>
              <w:rPr>
                <w:rFonts w:ascii="New York" w:hAnsi="New York"/>
                <w:color w:val="FF0000"/>
                <w:shd w:val="clear" w:color="auto" w:fill="FFFFFF"/>
                <w:lang w:eastAsia="zh-CN" w:bidi="ar"/>
              </w:rPr>
              <w:t xml:space="preserve"> [38.213]</w:t>
            </w:r>
          </w:p>
          <w:p>
            <w:pPr>
              <w:numPr>
                <w:ilvl w:val="0"/>
                <w:numId w:val="11"/>
              </w:numPr>
              <w:shd w:val="clear" w:color="auto" w:fill="FFFFFF"/>
              <w:spacing w:before="0" w:after="0" w:line="231" w:lineRule="atLeast"/>
              <w:rPr>
                <w:rFonts w:ascii="New York" w:hAnsi="New York"/>
                <w:color w:val="000000"/>
                <w:shd w:val="clear" w:color="auto" w:fill="FFFFFF"/>
                <w:lang w:eastAsia="zh-CN"/>
              </w:rPr>
            </w:pPr>
            <w:r>
              <w:rPr>
                <w:rFonts w:ascii="New York" w:hAnsi="New York"/>
                <w:color w:val="000000"/>
                <w:shd w:val="clear" w:color="auto" w:fill="FFFFFF"/>
                <w:lang w:eastAsia="zh-CN"/>
              </w:rPr>
              <w:t>The following working assumptions from RAN1#107-e are NOT confirmed for idle/inactive mode and furthermore they are replaced by the agreements further down for connected mode.</w:t>
            </w:r>
          </w:p>
          <w:p>
            <w:pPr>
              <w:numPr>
                <w:ilvl w:val="1"/>
                <w:numId w:val="12"/>
              </w:numPr>
              <w:shd w:val="clear" w:color="auto" w:fill="FFFFFF"/>
              <w:spacing w:before="0" w:after="0" w:line="231" w:lineRule="atLeast"/>
              <w:rPr>
                <w:rFonts w:ascii="New York" w:hAnsi="New York" w:eastAsia="Microsoft YaHei UI"/>
                <w:color w:val="000000"/>
                <w:shd w:val="clear" w:color="auto" w:fill="FFFFFF"/>
                <w:lang w:eastAsia="zh-CN"/>
              </w:rPr>
            </w:pPr>
            <w:r>
              <w:rPr>
                <w:rFonts w:ascii="New York" w:hAnsi="New York" w:eastAsia="Microsoft YaHei UI"/>
                <w:color w:val="000000"/>
                <w:shd w:val="clear" w:color="auto" w:fill="FFFFFF"/>
                <w:lang w:eastAsia="zh-CN"/>
              </w:rPr>
              <w:t>For FR1,</w:t>
            </w:r>
          </w:p>
          <w:p>
            <w:pPr>
              <w:numPr>
                <w:ilvl w:val="2"/>
                <w:numId w:val="13"/>
              </w:numPr>
              <w:tabs>
                <w:tab w:val="left" w:pos="2160"/>
              </w:tabs>
              <w:spacing w:before="0" w:after="0" w:line="231" w:lineRule="atLeast"/>
              <w:rPr>
                <w:rFonts w:ascii="New York" w:hAnsi="New York" w:eastAsia="Microsoft YaHei UI"/>
                <w:color w:val="000000"/>
                <w:lang w:eastAsia="zh-CN"/>
              </w:rPr>
            </w:pPr>
            <w:r>
              <w:rPr>
                <w:rFonts w:ascii="New York" w:hAnsi="New York" w:eastAsia="Microsoft YaHei UI"/>
                <w:color w:val="000000"/>
                <w:lang w:eastAsia="zh-CN"/>
              </w:rPr>
              <w:t>For a separate initial DL BWP (if it does not include CD-SSB and the entire CORESET#0) from RAN1 perspective,</w:t>
            </w:r>
          </w:p>
          <w:p>
            <w:pPr>
              <w:numPr>
                <w:ilvl w:val="3"/>
                <w:numId w:val="13"/>
              </w:numPr>
              <w:tabs>
                <w:tab w:val="left" w:pos="2880"/>
              </w:tabs>
              <w:spacing w:before="0" w:after="0" w:line="231" w:lineRule="atLeast"/>
              <w:ind w:left="2882"/>
              <w:rPr>
                <w:rFonts w:ascii="New York" w:hAnsi="New York" w:eastAsia="Microsoft YaHei UI"/>
                <w:color w:val="000000"/>
                <w:lang w:eastAsia="zh-CN"/>
              </w:rPr>
            </w:pPr>
            <w:r>
              <w:rPr>
                <w:rFonts w:ascii="New York" w:hAnsi="New York" w:eastAsia="Microsoft YaHei UI"/>
                <w:color w:val="000000"/>
                <w:shd w:val="clear" w:color="auto" w:fill="808000"/>
                <w:lang w:eastAsia="zh-CN"/>
              </w:rPr>
              <w:t>Working assumption:</w:t>
            </w:r>
            <w:r>
              <w:rPr>
                <w:rFonts w:ascii="New York" w:hAnsi="New York" w:eastAsia="Microsoft YaHei UI"/>
                <w:color w:val="000000"/>
                <w:lang w:eastAsia="zh-CN"/>
              </w:rPr>
              <w:t> If it is configured for paging, RedCap UE expects it to contain NCD-SSB for serving cell but not CORESET#0/SIB from RAN1 perspective</w:t>
            </w:r>
          </w:p>
          <w:p>
            <w:pPr>
              <w:numPr>
                <w:ilvl w:val="1"/>
                <w:numId w:val="11"/>
              </w:numPr>
              <w:shd w:val="clear" w:color="auto" w:fill="FFFFFF"/>
              <w:spacing w:before="0" w:after="0" w:line="231" w:lineRule="atLeast"/>
              <w:rPr>
                <w:rFonts w:ascii="New York" w:hAnsi="New York" w:eastAsia="Microsoft YaHei UI"/>
                <w:color w:val="0070C0"/>
                <w:shd w:val="clear" w:color="auto" w:fill="FFFFFF"/>
                <w:lang w:eastAsia="zh-CN"/>
              </w:rPr>
            </w:pPr>
            <w:r>
              <w:rPr>
                <w:rFonts w:ascii="New York" w:hAnsi="New York" w:eastAsia="Microsoft YaHei UI"/>
                <w:color w:val="0070C0"/>
                <w:shd w:val="clear" w:color="auto" w:fill="FFFFFF"/>
                <w:lang w:eastAsia="zh-CN"/>
              </w:rPr>
              <w:t>For FR2,</w:t>
            </w:r>
          </w:p>
          <w:p>
            <w:pPr>
              <w:numPr>
                <w:ilvl w:val="2"/>
                <w:numId w:val="13"/>
              </w:numPr>
              <w:tabs>
                <w:tab w:val="left" w:pos="2160"/>
              </w:tabs>
              <w:spacing w:before="0" w:after="0" w:line="231" w:lineRule="atLeast"/>
              <w:rPr>
                <w:rFonts w:ascii="New York" w:hAnsi="New York" w:eastAsia="Microsoft YaHei UI"/>
                <w:color w:val="000000"/>
                <w:lang w:eastAsia="zh-CN"/>
              </w:rPr>
            </w:pPr>
            <w:r>
              <w:rPr>
                <w:rFonts w:ascii="New York" w:hAnsi="New York" w:eastAsia="Microsoft YaHei UI"/>
                <w:color w:val="000000"/>
                <w:lang w:eastAsia="zh-CN"/>
              </w:rPr>
              <w:t>For a separate initial DL BWP (if it does not include CD-SSB</w:t>
            </w:r>
            <w:r>
              <w:rPr>
                <w:rFonts w:ascii="New York" w:hAnsi="New York" w:eastAsia="Microsoft YaHei UI"/>
                <w:strike/>
                <w:color w:val="0070C0"/>
                <w:lang w:eastAsia="zh-CN"/>
              </w:rPr>
              <w:t> and the entire CORESET#0</w:t>
            </w:r>
            <w:r>
              <w:rPr>
                <w:rFonts w:ascii="New York" w:hAnsi="New York" w:eastAsia="Microsoft YaHei UI"/>
                <w:color w:val="000000"/>
                <w:lang w:eastAsia="zh-CN"/>
              </w:rPr>
              <w:t>) from RAN1 perspective,</w:t>
            </w:r>
          </w:p>
          <w:p>
            <w:pPr>
              <w:numPr>
                <w:ilvl w:val="3"/>
                <w:numId w:val="13"/>
              </w:numPr>
              <w:tabs>
                <w:tab w:val="left" w:pos="2880"/>
              </w:tabs>
              <w:spacing w:before="0" w:after="0" w:line="231" w:lineRule="atLeast"/>
              <w:ind w:left="2882"/>
              <w:rPr>
                <w:rFonts w:ascii="New York" w:hAnsi="New York" w:eastAsia="Microsoft YaHei UI"/>
                <w:color w:val="000000"/>
                <w:lang w:eastAsia="zh-CN"/>
              </w:rPr>
            </w:pPr>
            <w:r>
              <w:rPr>
                <w:rFonts w:ascii="New York" w:hAnsi="New York" w:eastAsia="Microsoft YaHei UI"/>
                <w:color w:val="000000"/>
                <w:shd w:val="clear" w:color="auto" w:fill="808000"/>
                <w:lang w:eastAsia="zh-CN"/>
              </w:rPr>
              <w:t>Working assumption:</w:t>
            </w:r>
            <w:r>
              <w:rPr>
                <w:rFonts w:ascii="New York" w:hAnsi="New York" w:eastAsia="Microsoft YaHei UI"/>
                <w:color w:val="000000"/>
                <w:lang w:eastAsia="zh-CN"/>
              </w:rPr>
              <w:t> If it is configured for paging, RedCap UE expects it to contain NCD-SSB for serving cell but not CORESET#0/SIB from RAN1 perspective</w:t>
            </w:r>
          </w:p>
          <w:p>
            <w:pPr>
              <w:numPr>
                <w:ilvl w:val="0"/>
                <w:numId w:val="11"/>
              </w:numPr>
              <w:shd w:val="clear" w:color="auto" w:fill="FFFFFF"/>
              <w:spacing w:before="0" w:after="0" w:line="231" w:lineRule="atLeast"/>
              <w:rPr>
                <w:rFonts w:ascii="New York" w:hAnsi="New York"/>
                <w:color w:val="000000"/>
                <w:shd w:val="clear" w:color="auto" w:fill="FFFFFF"/>
                <w:lang w:eastAsia="zh-CN"/>
              </w:rPr>
            </w:pPr>
            <w:r>
              <w:rPr>
                <w:rFonts w:ascii="New York" w:hAnsi="New York"/>
                <w:color w:val="000000"/>
                <w:shd w:val="clear" w:color="auto" w:fill="FFFFFF"/>
                <w:lang w:eastAsia="zh-CN"/>
              </w:rPr>
              <w:t>For BWP#0 configuration option 1,</w:t>
            </w:r>
          </w:p>
          <w:p>
            <w:pPr>
              <w:numPr>
                <w:ilvl w:val="1"/>
                <w:numId w:val="14"/>
              </w:numPr>
              <w:shd w:val="clear" w:color="auto" w:fill="FFFFFF"/>
              <w:spacing w:before="0" w:after="0" w:line="231" w:lineRule="atLeast"/>
              <w:rPr>
                <w:rFonts w:ascii="New York" w:hAnsi="New York" w:eastAsia="Microsoft YaHei UI"/>
                <w:shd w:val="clear" w:color="auto" w:fill="FFFFFF"/>
                <w:lang w:eastAsia="zh-CN"/>
              </w:rPr>
            </w:pPr>
            <w:r>
              <w:rPr>
                <w:rFonts w:ascii="New York" w:hAnsi="New York" w:eastAsia="Microsoft YaHei UI"/>
                <w:shd w:val="clear" w:color="auto" w:fill="FFFFFF"/>
                <w:lang w:eastAsia="zh-CN"/>
              </w:rPr>
              <w:t>For FR1,</w:t>
            </w:r>
          </w:p>
          <w:p>
            <w:pPr>
              <w:numPr>
                <w:ilvl w:val="2"/>
                <w:numId w:val="13"/>
              </w:numPr>
              <w:tabs>
                <w:tab w:val="left" w:pos="2160"/>
              </w:tabs>
              <w:spacing w:before="0" w:after="0" w:line="231" w:lineRule="atLeast"/>
              <w:rPr>
                <w:rFonts w:ascii="New York" w:hAnsi="New York" w:eastAsia="Microsoft YaHei UI"/>
                <w:lang w:eastAsia="zh-CN"/>
              </w:rPr>
            </w:pPr>
            <w:r>
              <w:rPr>
                <w:rFonts w:ascii="New York" w:hAnsi="New York" w:eastAsia="Microsoft YaHei UI"/>
                <w:lang w:eastAsia="zh-CN"/>
              </w:rPr>
              <w:t>For a separate initial DL BWP, for a RedCap UE in connected mode, paging can only be configured if it contains CD-SSB and the entire CORESET#0.</w:t>
            </w:r>
          </w:p>
          <w:p>
            <w:pPr>
              <w:numPr>
                <w:ilvl w:val="1"/>
                <w:numId w:val="14"/>
              </w:numPr>
              <w:shd w:val="clear" w:color="auto" w:fill="FFFFFF"/>
              <w:spacing w:before="0" w:after="0" w:line="231" w:lineRule="atLeast"/>
              <w:rPr>
                <w:rFonts w:ascii="New York" w:hAnsi="New York" w:eastAsia="Microsoft YaHei UI"/>
                <w:color w:val="0070C0"/>
                <w:shd w:val="clear" w:color="auto" w:fill="FFFFFF"/>
                <w:lang w:eastAsia="zh-CN"/>
              </w:rPr>
            </w:pPr>
            <w:r>
              <w:rPr>
                <w:rFonts w:ascii="New York" w:hAnsi="New York" w:eastAsia="Microsoft YaHei UI"/>
                <w:color w:val="0070C0"/>
                <w:shd w:val="clear" w:color="auto" w:fill="FFFFFF"/>
                <w:lang w:eastAsia="zh-CN"/>
              </w:rPr>
              <w:t>For FR2,</w:t>
            </w:r>
          </w:p>
          <w:p>
            <w:pPr>
              <w:numPr>
                <w:ilvl w:val="2"/>
                <w:numId w:val="13"/>
              </w:numPr>
              <w:tabs>
                <w:tab w:val="left" w:pos="2160"/>
              </w:tabs>
              <w:spacing w:before="0" w:after="0" w:line="231" w:lineRule="atLeast"/>
              <w:rPr>
                <w:rFonts w:ascii="New York" w:hAnsi="New York" w:eastAsia="Microsoft YaHei UI"/>
                <w:color w:val="000000"/>
                <w:lang w:eastAsia="zh-CN"/>
              </w:rPr>
            </w:pPr>
            <w:r>
              <w:rPr>
                <w:rFonts w:ascii="New York" w:hAnsi="New York" w:eastAsia="Microsoft YaHei UI"/>
                <w:color w:val="000000"/>
                <w:lang w:eastAsia="zh-CN"/>
              </w:rPr>
              <w:t>For a separate initial DL BWP, for a RedCap UE in connected mode, paging can only be configured if it contains CD-SSB</w:t>
            </w:r>
            <w:r>
              <w:rPr>
                <w:rFonts w:ascii="New York" w:hAnsi="New York" w:eastAsia="Microsoft YaHei UI"/>
                <w:strike/>
                <w:color w:val="0070C0"/>
                <w:lang w:eastAsia="zh-CN"/>
              </w:rPr>
              <w:t xml:space="preserve"> and the entire CORESET#0</w:t>
            </w:r>
            <w:r>
              <w:rPr>
                <w:rFonts w:ascii="New York" w:hAnsi="New York" w:eastAsia="Microsoft YaHei UI"/>
                <w:color w:val="000000"/>
                <w:lang w:eastAsia="zh-CN"/>
              </w:rPr>
              <w:t>.</w:t>
            </w:r>
          </w:p>
          <w:p>
            <w:pPr>
              <w:numPr>
                <w:ilvl w:val="0"/>
                <w:numId w:val="11"/>
              </w:numPr>
              <w:shd w:val="clear" w:color="auto" w:fill="FFFFFF"/>
              <w:spacing w:before="0" w:after="0" w:line="231" w:lineRule="atLeast"/>
              <w:rPr>
                <w:rFonts w:ascii="New York" w:hAnsi="New York"/>
                <w:color w:val="000000"/>
                <w:shd w:val="clear" w:color="auto" w:fill="FFFFFF"/>
                <w:lang w:eastAsia="zh-CN"/>
              </w:rPr>
            </w:pPr>
            <w:r>
              <w:rPr>
                <w:rFonts w:ascii="New York" w:hAnsi="New York"/>
                <w:color w:val="000000"/>
                <w:shd w:val="clear" w:color="auto" w:fill="FFFFFF"/>
                <w:lang w:eastAsia="zh-CN"/>
              </w:rPr>
              <w:t>Note: For BWP#0 configuration option 2,</w:t>
            </w:r>
          </w:p>
          <w:p>
            <w:pPr>
              <w:numPr>
                <w:ilvl w:val="1"/>
                <w:numId w:val="15"/>
              </w:numPr>
              <w:shd w:val="clear" w:color="auto" w:fill="FFFFFF"/>
              <w:spacing w:before="0" w:after="0" w:line="231" w:lineRule="atLeast"/>
              <w:rPr>
                <w:rFonts w:ascii="New York" w:hAnsi="New York" w:eastAsia="Microsoft YaHei UI"/>
                <w:color w:val="000000"/>
                <w:shd w:val="clear" w:color="auto" w:fill="FFFFFF"/>
                <w:lang w:eastAsia="zh-CN"/>
              </w:rPr>
            </w:pPr>
            <w:r>
              <w:rPr>
                <w:rFonts w:ascii="New York" w:hAnsi="New York" w:eastAsia="Microsoft YaHei UI"/>
                <w:color w:val="000000"/>
                <w:shd w:val="clear" w:color="auto" w:fill="FFFFFF"/>
                <w:lang w:eastAsia="zh-CN"/>
              </w:rPr>
              <w:t>For FR1,</w:t>
            </w:r>
          </w:p>
          <w:p>
            <w:pPr>
              <w:numPr>
                <w:ilvl w:val="2"/>
                <w:numId w:val="13"/>
              </w:numPr>
              <w:tabs>
                <w:tab w:val="left" w:pos="2160"/>
              </w:tabs>
              <w:spacing w:before="0" w:after="0" w:line="231" w:lineRule="atLeast"/>
              <w:rPr>
                <w:rFonts w:ascii="New York" w:hAnsi="New York" w:eastAsia="Microsoft YaHei UI"/>
                <w:color w:val="000000"/>
                <w:lang w:eastAsia="zh-CN"/>
              </w:rPr>
            </w:pPr>
            <w:r>
              <w:rPr>
                <w:rFonts w:ascii="New York" w:hAnsi="New York" w:eastAsia="Microsoft YaHei UI"/>
                <w:color w:val="000000"/>
                <w:lang w:eastAsia="zh-CN"/>
              </w:rPr>
              <w:t>For a separate initial DL BWP in connected mode (if it does not include CD-SSB and the entire CORESET#0), if it is configured for paging,</w:t>
            </w:r>
          </w:p>
          <w:p>
            <w:pPr>
              <w:numPr>
                <w:ilvl w:val="3"/>
                <w:numId w:val="13"/>
              </w:numPr>
              <w:tabs>
                <w:tab w:val="left" w:pos="2880"/>
              </w:tabs>
              <w:spacing w:before="0" w:after="0" w:line="231" w:lineRule="atLeast"/>
              <w:ind w:left="2882"/>
              <w:rPr>
                <w:rFonts w:ascii="New York" w:hAnsi="New York" w:eastAsia="Microsoft YaHei UI"/>
                <w:color w:val="000000"/>
                <w:lang w:eastAsia="zh-CN"/>
              </w:rPr>
            </w:pPr>
            <w:r>
              <w:rPr>
                <w:rFonts w:ascii="New York" w:hAnsi="New York" w:eastAsia="Microsoft YaHei UI"/>
                <w:color w:val="000000"/>
                <w:lang w:eastAsia="zh-CN"/>
              </w:rPr>
              <w:t>A RedCap UE supporting mandatory FG 6-1 (but not optional FG 6-1a) expects it to contain NCD-SSB for serving cell but not CORESET#0/SIB</w:t>
            </w:r>
          </w:p>
          <w:p>
            <w:pPr>
              <w:numPr>
                <w:ilvl w:val="3"/>
                <w:numId w:val="13"/>
              </w:numPr>
              <w:tabs>
                <w:tab w:val="left" w:pos="2880"/>
              </w:tabs>
              <w:spacing w:before="0" w:after="0" w:line="231" w:lineRule="atLeast"/>
              <w:ind w:left="2882"/>
              <w:rPr>
                <w:rFonts w:ascii="New York" w:hAnsi="New York" w:eastAsia="Microsoft YaHei UI"/>
                <w:color w:val="000000"/>
                <w:lang w:eastAsia="zh-CN"/>
              </w:rPr>
            </w:pPr>
            <w:r>
              <w:rPr>
                <w:rFonts w:ascii="New York" w:hAnsi="New York" w:eastAsia="Microsoft YaHei UI"/>
                <w:color w:val="000000"/>
                <w:lang w:eastAsia="zh-CN"/>
              </w:rPr>
              <w:t>A RedCap UE supporting FG 6-1a does not expect it to contain SSB/CORESET#0/SIB</w:t>
            </w:r>
          </w:p>
          <w:p>
            <w:pPr>
              <w:numPr>
                <w:ilvl w:val="1"/>
                <w:numId w:val="15"/>
              </w:numPr>
              <w:shd w:val="clear" w:color="auto" w:fill="FFFFFF"/>
              <w:spacing w:before="0" w:after="0" w:line="231" w:lineRule="atLeast"/>
              <w:rPr>
                <w:rFonts w:ascii="New York" w:hAnsi="New York" w:eastAsia="Microsoft YaHei UI"/>
                <w:color w:val="0070C0"/>
                <w:shd w:val="clear" w:color="auto" w:fill="FFFFFF"/>
                <w:lang w:eastAsia="zh-CN"/>
              </w:rPr>
            </w:pPr>
            <w:r>
              <w:rPr>
                <w:rFonts w:ascii="New York" w:hAnsi="New York" w:eastAsia="Microsoft YaHei UI"/>
                <w:color w:val="0070C0"/>
                <w:shd w:val="clear" w:color="auto" w:fill="FFFFFF"/>
                <w:lang w:eastAsia="zh-CN"/>
              </w:rPr>
              <w:t>For FR2,</w:t>
            </w:r>
          </w:p>
          <w:p>
            <w:pPr>
              <w:numPr>
                <w:ilvl w:val="2"/>
                <w:numId w:val="13"/>
              </w:numPr>
              <w:tabs>
                <w:tab w:val="left" w:pos="2160"/>
              </w:tabs>
              <w:spacing w:before="0" w:after="0" w:line="231" w:lineRule="atLeast"/>
              <w:rPr>
                <w:rFonts w:ascii="New York" w:hAnsi="New York" w:eastAsia="Microsoft YaHei UI"/>
                <w:color w:val="000000"/>
                <w:lang w:eastAsia="zh-CN"/>
              </w:rPr>
            </w:pPr>
            <w:r>
              <w:rPr>
                <w:rFonts w:ascii="New York" w:hAnsi="New York" w:eastAsia="Microsoft YaHei UI"/>
                <w:color w:val="000000"/>
                <w:lang w:eastAsia="zh-CN"/>
              </w:rPr>
              <w:t>For a separate initial DL BWP in connected mode (if it does not include CD-SSB</w:t>
            </w:r>
            <w:r>
              <w:rPr>
                <w:rFonts w:ascii="New York" w:hAnsi="New York" w:eastAsia="Microsoft YaHei UI"/>
                <w:strike/>
                <w:color w:val="0070C0"/>
                <w:lang w:eastAsia="zh-CN"/>
              </w:rPr>
              <w:t> and the entire CORESET#0</w:t>
            </w:r>
            <w:r>
              <w:rPr>
                <w:rFonts w:ascii="New York" w:hAnsi="New York" w:eastAsia="Microsoft YaHei UI"/>
                <w:color w:val="000000"/>
                <w:lang w:eastAsia="zh-CN"/>
              </w:rPr>
              <w:t>), if it is configured for paging,</w:t>
            </w:r>
          </w:p>
          <w:p>
            <w:pPr>
              <w:numPr>
                <w:ilvl w:val="3"/>
                <w:numId w:val="13"/>
              </w:numPr>
              <w:tabs>
                <w:tab w:val="left" w:pos="2880"/>
              </w:tabs>
              <w:spacing w:before="0" w:after="0" w:line="231" w:lineRule="atLeast"/>
              <w:ind w:left="2882"/>
              <w:rPr>
                <w:rFonts w:ascii="New York" w:hAnsi="New York" w:eastAsia="Microsoft YaHei UI"/>
                <w:color w:val="000000"/>
                <w:lang w:eastAsia="zh-CN"/>
              </w:rPr>
            </w:pPr>
            <w:r>
              <w:rPr>
                <w:rFonts w:ascii="New York" w:hAnsi="New York" w:eastAsia="Microsoft YaHei UI"/>
                <w:color w:val="000000"/>
                <w:lang w:eastAsia="zh-CN"/>
              </w:rPr>
              <w:t>A RedCap UE supporting mandatory FG 6-1 (but not optional FG 6-1a) expects it to contain NCD-SSB for serving cell but not CORESET#0/SIB</w:t>
            </w:r>
          </w:p>
          <w:p>
            <w:pPr>
              <w:numPr>
                <w:ilvl w:val="3"/>
                <w:numId w:val="13"/>
              </w:numPr>
              <w:tabs>
                <w:tab w:val="left" w:pos="2880"/>
              </w:tabs>
              <w:spacing w:before="0" w:after="0" w:line="231" w:lineRule="atLeast"/>
              <w:ind w:left="2882"/>
              <w:rPr>
                <w:rFonts w:ascii="New York" w:hAnsi="New York"/>
                <w:lang w:eastAsia="zh-CN"/>
              </w:rPr>
            </w:pPr>
            <w:r>
              <w:rPr>
                <w:rFonts w:ascii="New York" w:hAnsi="New York" w:eastAsia="Microsoft YaHei UI"/>
                <w:color w:val="000000"/>
                <w:lang w:eastAsia="zh-CN"/>
              </w:rPr>
              <w:t>A RedCap UE supporting FG 6-1a does not expect it to contain SSB/CORESET#0/SIB</w:t>
            </w:r>
          </w:p>
        </w:tc>
      </w:tr>
    </w:tbl>
    <w:p>
      <w:pPr>
        <w:rPr>
          <w:lang w:eastAsia="zh-CN"/>
        </w:rPr>
      </w:pPr>
    </w:p>
    <w:p>
      <w:pPr>
        <w:tabs>
          <w:tab w:val="left" w:pos="772"/>
        </w:tabs>
        <w:spacing w:after="100" w:afterAutospacing="1"/>
        <w:rPr>
          <w:rStyle w:val="169"/>
        </w:rPr>
      </w:pPr>
      <w:r>
        <w:rPr>
          <w:rFonts w:hint="eastAsia"/>
          <w:lang w:eastAsia="zh-CN"/>
        </w:rPr>
        <w:t>For paging</w:t>
      </w:r>
      <w:r>
        <w:rPr>
          <w:rStyle w:val="169"/>
        </w:rPr>
        <w:t xml:space="preserve"> operation in idle mode, RAN#94-e made the following agreement [36].</w:t>
      </w:r>
    </w:p>
    <w:tbl>
      <w:tblPr>
        <w:tblStyle w:val="51"/>
        <w:tblW w:w="9549" w:type="dxa"/>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trPr>
        <w:tc>
          <w:tcPr>
            <w:tcW w:w="9549" w:type="dxa"/>
          </w:tcPr>
          <w:p>
            <w:pPr>
              <w:pStyle w:val="114"/>
              <w:numPr>
                <w:ilvl w:val="0"/>
                <w:numId w:val="16"/>
              </w:numPr>
              <w:tabs>
                <w:tab w:val="left" w:pos="772"/>
              </w:tabs>
              <w:spacing w:before="120" w:after="100" w:afterAutospacing="1" w:line="280" w:lineRule="atLeast"/>
              <w:rPr>
                <w:rStyle w:val="169"/>
                <w:rFonts w:ascii="New York" w:hAnsi="New York"/>
                <w:lang w:val="en-US"/>
              </w:rPr>
            </w:pPr>
            <w:r>
              <w:rPr>
                <w:rStyle w:val="169"/>
                <w:rFonts w:hint="eastAsia" w:ascii="New York" w:hAnsi="New York"/>
                <w:lang w:val="en-US"/>
              </w:rPr>
              <w:t xml:space="preserve">Scheme 1 (i.e., UE in IDLE and INACTIVE monitors paging in an initial BWP associated with CD-SSB) is adopted for further work in Rel-17. </w:t>
            </w:r>
          </w:p>
          <w:p>
            <w:pPr>
              <w:pStyle w:val="114"/>
              <w:numPr>
                <w:ilvl w:val="0"/>
                <w:numId w:val="16"/>
              </w:numPr>
              <w:tabs>
                <w:tab w:val="left" w:pos="772"/>
              </w:tabs>
              <w:spacing w:before="120" w:after="100" w:afterAutospacing="1" w:line="280" w:lineRule="atLeast"/>
              <w:rPr>
                <w:rFonts w:ascii="New York" w:hAnsi="New York" w:cs="Wingdings"/>
                <w:lang w:val="en-US"/>
              </w:rPr>
            </w:pPr>
            <w:r>
              <w:rPr>
                <w:rStyle w:val="169"/>
                <w:rFonts w:hint="eastAsia" w:ascii="New York" w:hAnsi="New York"/>
                <w:lang w:val="en-US"/>
              </w:rPr>
              <w:t>Scheme 2 (i.e., UE in IDLE and INACTIVE monitors paging in an initial BWP associated with NCD-SSB) is not considered further in Rel-17.</w:t>
            </w:r>
          </w:p>
        </w:tc>
      </w:tr>
    </w:tbl>
    <w:p>
      <w:pPr>
        <w:rPr>
          <w:lang w:eastAsia="zh-CN"/>
        </w:rPr>
      </w:pPr>
    </w:p>
    <w:p>
      <w:pPr>
        <w:rPr>
          <w:lang w:eastAsia="zh-CN"/>
        </w:rPr>
      </w:pPr>
      <w:r>
        <w:rPr>
          <w:rFonts w:hint="eastAsia"/>
          <w:lang w:eastAsia="zh-CN"/>
        </w:rPr>
        <w:t xml:space="preserve">And it is reflected in the following spec.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eastAsia="MS Mincho"/>
              </w:rPr>
            </w:pPr>
            <w:r>
              <w:rPr>
                <w:rFonts w:hint="eastAsia" w:ascii="New York" w:hAnsi="New York"/>
                <w:lang w:eastAsia="zh-CN"/>
              </w:rPr>
              <w:t xml:space="preserve">For an initial DL BWP provided by </w:t>
            </w:r>
            <w:r>
              <w:rPr>
                <w:rFonts w:hint="eastAsia" w:ascii="New York" w:hAnsi="New York" w:eastAsia="MS Mincho"/>
                <w:i/>
              </w:rPr>
              <w:t>initialDownlinkBWP</w:t>
            </w:r>
            <w:r>
              <w:rPr>
                <w:rFonts w:hint="eastAsia" w:ascii="New York" w:hAnsi="New York" w:eastAsia="MS Mincho"/>
              </w:rPr>
              <w:t xml:space="preserve"> in </w:t>
            </w:r>
            <w:r>
              <w:rPr>
                <w:rFonts w:hint="eastAsia" w:ascii="New York" w:hAnsi="New York" w:eastAsia="MS Mincho"/>
                <w:i/>
                <w:iCs/>
              </w:rPr>
              <w:t>DownlinkConfigCommonSIB</w:t>
            </w:r>
            <w:r>
              <w:rPr>
                <w:rFonts w:hint="eastAsia" w:ascii="New York" w:hAnsi="New York" w:eastAsia="MS Mincho"/>
              </w:rPr>
              <w:t xml:space="preserve">, if a UE monitors PDCCH according to a Type1-PDCCH CSS set and does not monitor PDCCH according to Type2-PDCCH CSS set, the UE assumes that the initial DL BWP does not include SS/PBCH blocks or the CORESET with index 0. If the UE monitors PDCCH according to Type2-PDCCH CSS set, the UE assumes that the initial DL BWP </w:t>
            </w:r>
          </w:p>
          <w:p>
            <w:pPr>
              <w:pStyle w:val="87"/>
              <w:spacing w:before="120" w:line="280" w:lineRule="atLeast"/>
              <w:rPr>
                <w:rFonts w:ascii="New York" w:hAnsi="New York"/>
              </w:rPr>
            </w:pPr>
            <w:r>
              <w:rPr>
                <w:rFonts w:hint="eastAsia" w:ascii="New York" w:hAnsi="New York"/>
                <w:lang w:eastAsia="zh-CN"/>
              </w:rPr>
              <w:t>-</w:t>
            </w:r>
            <w:r>
              <w:rPr>
                <w:rFonts w:hint="eastAsia" w:ascii="New York" w:hAnsi="New York"/>
                <w:lang w:eastAsia="zh-CN"/>
              </w:rPr>
              <w:tab/>
            </w:r>
            <w:r>
              <w:rPr>
                <w:rFonts w:hint="eastAsia" w:ascii="New York" w:hAnsi="New York"/>
              </w:rPr>
              <w:t>includes a SS/PBCH block and the CORESET with index 0 if the UE used the SS/PBCH block to obtain SIB1</w:t>
            </w:r>
          </w:p>
          <w:p>
            <w:pPr>
              <w:pStyle w:val="87"/>
              <w:spacing w:before="120" w:line="280" w:lineRule="atLeast"/>
              <w:rPr>
                <w:rFonts w:ascii="New York" w:hAnsi="New York"/>
                <w:lang w:eastAsia="zh-CN"/>
              </w:rPr>
            </w:pPr>
            <w:r>
              <w:rPr>
                <w:rFonts w:hint="eastAsia" w:ascii="New York" w:hAnsi="New York"/>
                <w:lang w:eastAsia="zh-CN"/>
              </w:rPr>
              <w:t>-</w:t>
            </w:r>
            <w:r>
              <w:rPr>
                <w:rFonts w:hint="eastAsia" w:ascii="New York" w:hAnsi="New York"/>
                <w:lang w:eastAsia="zh-CN"/>
              </w:rPr>
              <w:tab/>
            </w:r>
            <w:r>
              <w:rPr>
                <w:rFonts w:hint="eastAsia" w:ascii="New York" w:hAnsi="New York"/>
              </w:rPr>
              <w:t>includes a SS/PBCH block and does not include the CORESET with index 0 if the initial DL BWP does not include the SS/PBCH block the UE used to obtain SIB1</w:t>
            </w:r>
          </w:p>
        </w:tc>
      </w:tr>
    </w:tbl>
    <w:p>
      <w:pPr>
        <w:rPr>
          <w:lang w:eastAsia="zh-CN"/>
        </w:rPr>
      </w:pPr>
    </w:p>
    <w:p>
      <w:pPr>
        <w:rPr>
          <w:lang w:eastAsia="zh-CN"/>
        </w:rPr>
      </w:pPr>
      <w:r>
        <w:rPr>
          <w:rFonts w:hint="eastAsia"/>
          <w:lang w:eastAsia="zh-CN"/>
        </w:rPr>
        <w:t>However, the following aspects are not captured in the spec</w:t>
      </w:r>
      <w:r>
        <w:rPr>
          <w:lang w:eastAsia="zh-CN"/>
        </w:rPr>
        <w:t>.</w:t>
      </w:r>
    </w:p>
    <w:p>
      <w:pPr>
        <w:numPr>
          <w:ilvl w:val="0"/>
          <w:numId w:val="17"/>
        </w:numPr>
        <w:rPr>
          <w:lang w:eastAsia="zh-CN"/>
        </w:rPr>
      </w:pPr>
      <w:r>
        <w:rPr>
          <w:rFonts w:hint="eastAsia"/>
          <w:lang w:eastAsia="zh-CN"/>
        </w:rPr>
        <w:t xml:space="preserve">For RedCap UE, the separate initial DL BWP is configured as </w:t>
      </w:r>
      <w:r>
        <w:rPr>
          <w:rFonts w:eastAsia="MS Mincho"/>
          <w:i/>
        </w:rPr>
        <w:t>initialDownlinkBWP-RedCap</w:t>
      </w:r>
      <w:r>
        <w:rPr>
          <w:rFonts w:eastAsia="MS Mincho"/>
        </w:rPr>
        <w:t xml:space="preserve"> in </w:t>
      </w:r>
      <w:r>
        <w:rPr>
          <w:rFonts w:eastAsia="MS Mincho"/>
          <w:i/>
          <w:iCs/>
        </w:rPr>
        <w:t>DownlinkConfigCommonSIB</w:t>
      </w:r>
      <w:r>
        <w:rPr>
          <w:rFonts w:hint="eastAsia"/>
          <w:lang w:eastAsia="zh-CN"/>
        </w:rPr>
        <w:t xml:space="preserve"> </w:t>
      </w:r>
    </w:p>
    <w:p>
      <w:pPr>
        <w:numPr>
          <w:ilvl w:val="0"/>
          <w:numId w:val="17"/>
        </w:numPr>
        <w:rPr>
          <w:lang w:eastAsia="zh-CN"/>
        </w:rPr>
      </w:pPr>
      <w:r>
        <w:rPr>
          <w:rFonts w:hint="eastAsia"/>
          <w:lang w:eastAsia="zh-CN"/>
        </w:rPr>
        <w:t xml:space="preserve">For FR1, </w:t>
      </w:r>
      <w:r>
        <w:t>SS/PBCH block and the CORESET with index 0</w:t>
      </w:r>
      <w:r>
        <w:rPr>
          <w:rFonts w:hint="eastAsia"/>
          <w:lang w:eastAsia="zh-CN"/>
        </w:rPr>
        <w:t xml:space="preserve"> should be included in the initial DL BWP if paging is monitored.</w:t>
      </w:r>
    </w:p>
    <w:p>
      <w:pPr>
        <w:numPr>
          <w:ilvl w:val="0"/>
          <w:numId w:val="17"/>
        </w:numPr>
        <w:rPr>
          <w:lang w:eastAsia="zh-CN"/>
        </w:rPr>
      </w:pPr>
      <w:r>
        <w:rPr>
          <w:rFonts w:hint="eastAsia"/>
          <w:lang w:eastAsia="zh-CN"/>
        </w:rPr>
        <w:t>For FR2</w:t>
      </w:r>
      <w:r>
        <w:rPr>
          <w:rFonts w:hint="eastAsia"/>
          <w:color w:val="000000" w:themeColor="text1"/>
          <w:lang w:eastAsia="zh-CN"/>
          <w14:textFill>
            <w14:solidFill>
              <w14:schemeClr w14:val="tx1"/>
            </w14:solidFill>
          </w14:textFill>
        </w:rPr>
        <w:t xml:space="preserve">, </w:t>
      </w:r>
      <w:r>
        <w:rPr>
          <w:rFonts w:hint="eastAsia"/>
          <w:color w:val="000000" w:themeColor="text1"/>
          <w14:textFill>
            <w14:solidFill>
              <w14:schemeClr w14:val="tx1"/>
            </w14:solidFill>
          </w14:textFill>
        </w:rPr>
        <w:t>for SS/PBCH block and CORESET multiplexing pattern 1</w:t>
      </w:r>
      <w:r>
        <w:rPr>
          <w:rFonts w:hint="eastAsia"/>
          <w:color w:val="000000" w:themeColor="text1"/>
          <w:lang w:eastAsia="zh-CN"/>
          <w14:textFill>
            <w14:solidFill>
              <w14:schemeClr w14:val="tx1"/>
            </w14:solidFill>
          </w14:textFill>
        </w:rPr>
        <w:t xml:space="preserve">, only </w:t>
      </w:r>
      <w:r>
        <w:rPr>
          <w:color w:val="000000" w:themeColor="text1"/>
          <w14:textFill>
            <w14:solidFill>
              <w14:schemeClr w14:val="tx1"/>
            </w14:solidFill>
          </w14:textFill>
        </w:rPr>
        <w:t xml:space="preserve">SS/PBCH block </w:t>
      </w:r>
      <w:r>
        <w:rPr>
          <w:rFonts w:hint="eastAsia"/>
          <w:color w:val="000000" w:themeColor="text1"/>
          <w:lang w:eastAsia="zh-CN"/>
          <w14:textFill>
            <w14:solidFill>
              <w14:schemeClr w14:val="tx1"/>
            </w14:solidFill>
          </w14:textFill>
        </w:rPr>
        <w:t>should be included in the initial DL BWP if paging is monitored</w:t>
      </w:r>
    </w:p>
    <w:p>
      <w:pPr>
        <w:rPr>
          <w:b/>
          <w:bCs/>
          <w:i/>
          <w:iCs/>
          <w:lang w:eastAsia="zh-CN"/>
        </w:rPr>
      </w:pPr>
      <w:r>
        <w:rPr>
          <w:rFonts w:hint="eastAsia"/>
          <w:b/>
          <w:bCs/>
          <w:i/>
          <w:iCs/>
          <w:lang w:eastAsia="zh-CN"/>
        </w:rPr>
        <w:t>Proposal 2: A spec correction for SSB and CORESET#0 presence in separate initial DL BWP in FR1 and FR2 should be considered to keep align</w:t>
      </w:r>
      <w:r>
        <w:rPr>
          <w:b/>
          <w:bCs/>
          <w:i/>
          <w:iCs/>
          <w:lang w:eastAsia="zh-CN"/>
        </w:rPr>
        <w:t>ed</w:t>
      </w:r>
      <w:r>
        <w:rPr>
          <w:rFonts w:hint="eastAsia"/>
          <w:b/>
          <w:bCs/>
          <w:i/>
          <w:iCs/>
          <w:lang w:eastAsia="zh-CN"/>
        </w:rPr>
        <w:t xml:space="preserve"> with the agreement.</w:t>
      </w:r>
    </w:p>
    <w:p>
      <w:pPr>
        <w:rPr>
          <w:lang w:eastAsia="zh-CN"/>
        </w:rPr>
      </w:pPr>
    </w:p>
    <w:p>
      <w:pPr>
        <w:pStyle w:val="3"/>
        <w:rPr>
          <w:lang w:val="en-US" w:eastAsia="zh-CN"/>
        </w:rPr>
      </w:pPr>
      <w:r>
        <w:rPr>
          <w:rFonts w:hint="eastAsia"/>
          <w:lang w:val="en-US" w:eastAsia="zh-CN"/>
        </w:rPr>
        <w:t>NCD-SSB related correction</w:t>
      </w:r>
    </w:p>
    <w:p>
      <w:pPr>
        <w:rPr>
          <w:iCs/>
          <w:lang w:eastAsia="zh-CN"/>
        </w:rPr>
      </w:pPr>
      <w:r>
        <w:rPr>
          <w:rFonts w:hint="eastAsia"/>
          <w:lang w:eastAsia="zh-CN"/>
        </w:rPr>
        <w:t>For clause 17.2 in TS38.213,</w:t>
      </w:r>
      <w:r>
        <w:rPr>
          <w:lang w:eastAsia="zh-CN"/>
        </w:rPr>
        <w:t xml:space="preserve"> </w:t>
      </w:r>
      <w:r>
        <w:rPr>
          <w:i/>
        </w:rPr>
        <w:t>NonCellDefiningSSB</w:t>
      </w:r>
      <w:r>
        <w:rPr>
          <w:rFonts w:hint="eastAsia"/>
          <w:i/>
          <w:lang w:eastAsia="zh-CN"/>
        </w:rPr>
        <w:t xml:space="preserve"> </w:t>
      </w:r>
      <w:r>
        <w:rPr>
          <w:rFonts w:hint="eastAsia"/>
          <w:iCs/>
          <w:lang w:eastAsia="zh-CN"/>
        </w:rPr>
        <w:t xml:space="preserve">is introduced for NCD-SSB. Similarly, the usage of </w:t>
      </w:r>
      <w:r>
        <w:rPr>
          <w:i/>
        </w:rPr>
        <w:t>NonCellDefiningSSB</w:t>
      </w:r>
      <w:r>
        <w:rPr>
          <w:rFonts w:hint="eastAsia"/>
          <w:i/>
          <w:lang w:eastAsia="zh-CN"/>
        </w:rPr>
        <w:t xml:space="preserve"> </w:t>
      </w:r>
      <w:r>
        <w:rPr>
          <w:rFonts w:hint="eastAsia"/>
          <w:iCs/>
          <w:lang w:eastAsia="zh-CN"/>
        </w:rPr>
        <w:t>also should be considered for other places</w:t>
      </w:r>
      <w:r>
        <w:rPr>
          <w:iCs/>
          <w:lang w:eastAsia="zh-CN"/>
        </w:rPr>
        <w:t xml:space="preserve"> a</w:t>
      </w:r>
      <w:r>
        <w:rPr>
          <w:rFonts w:hint="eastAsia"/>
          <w:iCs/>
          <w:lang w:eastAsia="zh-CN"/>
        </w:rPr>
        <w:t xml:space="preserve">s following: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lang w:eastAsia="zh-CN"/>
              </w:rPr>
            </w:pPr>
            <w:r>
              <w:rPr>
                <w:rFonts w:hint="eastAsia" w:ascii="New York" w:hAnsi="New York"/>
                <w:lang w:eastAsia="zh-CN"/>
              </w:rPr>
              <w:t>TS38.213 clause 8.1</w:t>
            </w:r>
          </w:p>
          <w:p>
            <w:pPr>
              <w:spacing w:before="120" w:after="240" w:line="280" w:lineRule="atLeast"/>
              <w:rPr>
                <w:rFonts w:ascii="New York" w:hAnsi="New York"/>
              </w:rPr>
            </w:pPr>
            <w:r>
              <w:rPr>
                <w:rFonts w:hint="eastAsia" w:ascii="New York" w:hAnsi="New York"/>
              </w:rPr>
              <w:t xml:space="preserve">SS/PBCH block indexes </w:t>
            </w:r>
            <w:r>
              <w:rPr>
                <w:rFonts w:hint="eastAsia" w:ascii="New York" w:hAnsi="New York"/>
                <w:lang w:eastAsia="zh-CN"/>
              </w:rPr>
              <w:t>provided by</w:t>
            </w:r>
            <w:r>
              <w:rPr>
                <w:rFonts w:hint="eastAsia" w:ascii="New York" w:hAnsi="New York"/>
              </w:rPr>
              <w:t xml:space="preserve"> </w:t>
            </w:r>
            <w:r>
              <w:rPr>
                <w:rFonts w:hint="eastAsia" w:ascii="New York" w:hAnsi="New York"/>
                <w:i/>
                <w:highlight w:val="yellow"/>
              </w:rPr>
              <w:t>ssb-PositionsInBurst</w:t>
            </w:r>
            <w:r>
              <w:rPr>
                <w:rFonts w:hint="eastAsia" w:ascii="New York" w:hAnsi="New York"/>
                <w:highlight w:val="yellow"/>
              </w:rPr>
              <w:t xml:space="preserve"> in </w:t>
            </w:r>
            <w:r>
              <w:rPr>
                <w:rFonts w:hint="eastAsia" w:ascii="New York" w:hAnsi="New York"/>
                <w:i/>
                <w:highlight w:val="yellow"/>
              </w:rPr>
              <w:t>S</w:t>
            </w:r>
            <w:r>
              <w:rPr>
                <w:rFonts w:hint="eastAsia" w:ascii="New York" w:hAnsi="New York"/>
                <w:i/>
                <w:highlight w:val="yellow"/>
                <w:lang w:eastAsia="zh-CN"/>
              </w:rPr>
              <w:t>IB</w:t>
            </w:r>
            <w:r>
              <w:rPr>
                <w:rFonts w:hint="eastAsia" w:ascii="New York" w:hAnsi="New York"/>
                <w:i/>
                <w:highlight w:val="yellow"/>
              </w:rPr>
              <w:t>1</w:t>
            </w:r>
            <w:r>
              <w:rPr>
                <w:rFonts w:hint="eastAsia" w:ascii="New York" w:hAnsi="New York"/>
                <w:highlight w:val="yellow"/>
              </w:rPr>
              <w:t xml:space="preserve"> or in </w:t>
            </w:r>
            <w:r>
              <w:rPr>
                <w:rFonts w:hint="eastAsia" w:ascii="New York" w:hAnsi="New York"/>
                <w:i/>
                <w:highlight w:val="yellow"/>
              </w:rPr>
              <w:t>ServingCellConfigCommon</w:t>
            </w:r>
            <w:r>
              <w:rPr>
                <w:rFonts w:hint="eastAsia" w:ascii="New York" w:hAnsi="New York"/>
              </w:rPr>
              <w:t xml:space="preserve"> are mapped to valid PRACH occasions in the following order where the parameters are described in [4, TS 38.211].</w:t>
            </w:r>
          </w:p>
          <w:p>
            <w:pPr>
              <w:pStyle w:val="87"/>
              <w:spacing w:before="120" w:after="240" w:line="280" w:lineRule="atLeast"/>
              <w:rPr>
                <w:rFonts w:ascii="New York" w:hAnsi="New York"/>
              </w:rPr>
            </w:pPr>
            <w:r>
              <w:rPr>
                <w:rFonts w:hint="eastAsia" w:ascii="New York" w:hAnsi="New York"/>
              </w:rPr>
              <w:t>-</w:t>
            </w:r>
            <w:r>
              <w:rPr>
                <w:rFonts w:hint="eastAsia" w:ascii="New York" w:hAnsi="New York"/>
              </w:rPr>
              <w:tab/>
            </w:r>
            <w:r>
              <w:rPr>
                <w:rFonts w:hint="eastAsia" w:ascii="New York" w:hAnsi="New York"/>
              </w:rPr>
              <w:t>First, in increasing order of preamble indexes within a single PRACH occasion</w:t>
            </w:r>
          </w:p>
          <w:p>
            <w:pPr>
              <w:pStyle w:val="87"/>
              <w:spacing w:before="120" w:after="240" w:line="280" w:lineRule="atLeast"/>
              <w:rPr>
                <w:rFonts w:ascii="New York" w:hAnsi="New York"/>
              </w:rPr>
            </w:pPr>
            <w:r>
              <w:rPr>
                <w:rFonts w:hint="eastAsia" w:ascii="New York" w:hAnsi="New York"/>
              </w:rPr>
              <w:t>-</w:t>
            </w:r>
            <w:r>
              <w:rPr>
                <w:rFonts w:hint="eastAsia" w:ascii="New York" w:hAnsi="New York"/>
              </w:rPr>
              <w:tab/>
            </w:r>
            <w:r>
              <w:rPr>
                <w:rFonts w:hint="eastAsia" w:ascii="New York" w:hAnsi="New York"/>
              </w:rPr>
              <w:t>Second, in increasing order of frequency resource indexes for frequency multiplexed PRACH occasions</w:t>
            </w:r>
          </w:p>
          <w:p>
            <w:pPr>
              <w:pStyle w:val="87"/>
              <w:spacing w:before="120" w:after="240" w:line="280" w:lineRule="atLeast"/>
              <w:rPr>
                <w:rFonts w:ascii="New York" w:hAnsi="New York"/>
              </w:rPr>
            </w:pPr>
            <w:r>
              <w:rPr>
                <w:rFonts w:hint="eastAsia" w:ascii="New York" w:hAnsi="New York"/>
              </w:rPr>
              <w:t>-</w:t>
            </w:r>
            <w:r>
              <w:rPr>
                <w:rFonts w:hint="eastAsia" w:ascii="New York" w:hAnsi="New York"/>
              </w:rPr>
              <w:tab/>
            </w:r>
            <w:r>
              <w:rPr>
                <w:rFonts w:hint="eastAsia" w:ascii="New York" w:hAnsi="New York"/>
              </w:rPr>
              <w:t>Third, in increasing order of time resource indexes for time multiplexed PRACH occasions within a PRACH slot</w:t>
            </w:r>
          </w:p>
          <w:p>
            <w:pPr>
              <w:pStyle w:val="87"/>
              <w:spacing w:before="120" w:after="240" w:line="280" w:lineRule="atLeast"/>
              <w:rPr>
                <w:rFonts w:ascii="New York" w:hAnsi="New York"/>
              </w:rPr>
            </w:pPr>
            <w:r>
              <w:rPr>
                <w:rFonts w:hint="eastAsia" w:ascii="New York" w:hAnsi="New York"/>
              </w:rPr>
              <w:t>-</w:t>
            </w:r>
            <w:r>
              <w:rPr>
                <w:rFonts w:hint="eastAsia" w:ascii="New York" w:hAnsi="New York"/>
              </w:rPr>
              <w:tab/>
            </w:r>
            <w:r>
              <w:rPr>
                <w:rFonts w:hint="eastAsia" w:ascii="New York" w:hAnsi="New York"/>
              </w:rPr>
              <w:t>Fourth, in increasing order of indexes for PRACH slots</w:t>
            </w:r>
          </w:p>
          <w:p>
            <w:pPr>
              <w:spacing w:before="120" w:line="280" w:lineRule="atLeast"/>
              <w:rPr>
                <w:rFonts w:ascii="New York" w:hAnsi="New York"/>
              </w:rPr>
            </w:pPr>
            <w:r>
              <w:rPr>
                <w:rFonts w:hint="eastAsia" w:ascii="New York" w:hAnsi="New York"/>
              </w:rPr>
              <w:t xml:space="preserve">An association period, starting from frame 0, for mapping SS/PBCH block indexes to PRACH occasions is the smallest value in the set </w:t>
            </w:r>
            <w:r>
              <w:rPr>
                <w:rFonts w:hint="eastAsia" w:ascii="New York" w:hAnsi="New York"/>
                <w:lang w:eastAsia="zh-CN"/>
              </w:rPr>
              <w:t>determined by the PRACH configuration period according Table</w:t>
            </w:r>
            <w:r>
              <w:rPr>
                <w:rFonts w:hint="eastAsia" w:ascii="New York" w:hAnsi="New York"/>
              </w:rPr>
              <w:t xml:space="preserve"> 8.1-1 such that </w:t>
            </w:r>
            <m:oMath>
              <m:sSubSup>
                <m:sSubSupPr>
                  <m:ctrlPr>
                    <w:rPr>
                      <w:rFonts w:hint="eastAsia" w:ascii="Cambria Math" w:hAnsi="Cambria Math"/>
                      <w:i/>
                    </w:rPr>
                  </m:ctrlPr>
                </m:sSubSupPr>
                <m:e>
                  <m:r>
                    <w:rPr>
                      <w:rFonts w:hint="eastAsia" w:ascii="Cambria Math" w:hAnsi="Cambria Math"/>
                    </w:rPr>
                    <m:t>N</m:t>
                  </m:r>
                  <m:ctrlPr>
                    <w:rPr>
                      <w:rFonts w:hint="eastAsia" w:ascii="Cambria Math" w:hAnsi="Cambria Math"/>
                      <w:i/>
                    </w:rPr>
                  </m:ctrlPr>
                </m:e>
                <m:sub>
                  <m:r>
                    <m:rPr>
                      <m:sty m:val="p"/>
                    </m:rPr>
                    <w:rPr>
                      <w:rFonts w:hint="eastAsia" w:ascii="Cambria Math" w:hAnsi="Cambria Math"/>
                    </w:rPr>
                    <m:t>Tx</m:t>
                  </m:r>
                  <m:ctrlPr>
                    <w:rPr>
                      <w:rFonts w:hint="eastAsia" w:ascii="Cambria Math" w:hAnsi="Cambria Math"/>
                      <w:i/>
                    </w:rPr>
                  </m:ctrlPr>
                </m:sub>
                <m:sup>
                  <m:r>
                    <m:rPr>
                      <m:sty m:val="p"/>
                    </m:rPr>
                    <w:rPr>
                      <w:rFonts w:hint="eastAsia" w:ascii="Cambria Math" w:hAnsi="Cambria Math"/>
                    </w:rPr>
                    <m:t>SSB</m:t>
                  </m:r>
                  <m:ctrlPr>
                    <w:rPr>
                      <w:rFonts w:hint="eastAsia" w:ascii="Cambria Math" w:hAnsi="Cambria Math"/>
                      <w:i/>
                    </w:rPr>
                  </m:ctrlPr>
                </m:sup>
              </m:sSubSup>
            </m:oMath>
            <w:r>
              <w:rPr>
                <w:rFonts w:hint="eastAsia" w:ascii="New York" w:hAnsi="New York"/>
              </w:rPr>
              <w:t xml:space="preserve"> SS/PBCH block indexes are mapped at least once to the PRACH occasions within the association period, where a UE obtains </w:t>
            </w:r>
            <m:oMath>
              <m:sSubSup>
                <m:sSubSupPr>
                  <m:ctrlPr>
                    <w:rPr>
                      <w:rFonts w:hint="eastAsia" w:ascii="Cambria Math" w:hAnsi="Cambria Math"/>
                      <w:i/>
                    </w:rPr>
                  </m:ctrlPr>
                </m:sSubSupPr>
                <m:e>
                  <m:r>
                    <w:rPr>
                      <w:rFonts w:hint="eastAsia" w:ascii="Cambria Math" w:hAnsi="Cambria Math"/>
                    </w:rPr>
                    <m:t>N</m:t>
                  </m:r>
                  <m:ctrlPr>
                    <w:rPr>
                      <w:rFonts w:hint="eastAsia" w:ascii="Cambria Math" w:hAnsi="Cambria Math"/>
                      <w:i/>
                    </w:rPr>
                  </m:ctrlPr>
                </m:e>
                <m:sub>
                  <m:r>
                    <m:rPr>
                      <m:sty m:val="p"/>
                    </m:rPr>
                    <w:rPr>
                      <w:rFonts w:hint="eastAsia" w:ascii="Cambria Math" w:hAnsi="Cambria Math"/>
                    </w:rPr>
                    <m:t>Tx</m:t>
                  </m:r>
                  <m:ctrlPr>
                    <w:rPr>
                      <w:rFonts w:hint="eastAsia" w:ascii="Cambria Math" w:hAnsi="Cambria Math"/>
                      <w:i/>
                    </w:rPr>
                  </m:ctrlPr>
                </m:sub>
                <m:sup>
                  <m:r>
                    <m:rPr>
                      <m:sty m:val="p"/>
                    </m:rPr>
                    <w:rPr>
                      <w:rFonts w:hint="eastAsia" w:ascii="Cambria Math" w:hAnsi="Cambria Math"/>
                    </w:rPr>
                    <m:t>SSB</m:t>
                  </m:r>
                  <m:ctrlPr>
                    <w:rPr>
                      <w:rFonts w:hint="eastAsia" w:ascii="Cambria Math" w:hAnsi="Cambria Math"/>
                      <w:i/>
                    </w:rPr>
                  </m:ctrlPr>
                </m:sup>
              </m:sSubSup>
            </m:oMath>
            <w:r>
              <w:rPr>
                <w:rFonts w:hint="eastAsia" w:ascii="New York" w:hAnsi="New York"/>
              </w:rPr>
              <w:t xml:space="preserve"> from the value of </w:t>
            </w:r>
            <w:r>
              <w:rPr>
                <w:rFonts w:hint="eastAsia" w:ascii="New York" w:hAnsi="New York"/>
                <w:i/>
                <w:highlight w:val="yellow"/>
              </w:rPr>
              <w:t>ssb-PositionsInBurst</w:t>
            </w:r>
            <w:r>
              <w:rPr>
                <w:rFonts w:hint="eastAsia" w:ascii="New York" w:hAnsi="New York"/>
                <w:highlight w:val="yellow"/>
              </w:rPr>
              <w:t xml:space="preserve"> in </w:t>
            </w:r>
            <w:r>
              <w:rPr>
                <w:rFonts w:hint="eastAsia" w:ascii="New York" w:hAnsi="New York"/>
                <w:i/>
                <w:highlight w:val="yellow"/>
              </w:rPr>
              <w:t>S</w:t>
            </w:r>
            <w:r>
              <w:rPr>
                <w:rFonts w:hint="eastAsia" w:ascii="New York" w:hAnsi="New York"/>
                <w:i/>
                <w:highlight w:val="yellow"/>
                <w:lang w:eastAsia="zh-CN"/>
              </w:rPr>
              <w:t>IB</w:t>
            </w:r>
            <w:r>
              <w:rPr>
                <w:rFonts w:hint="eastAsia" w:ascii="New York" w:hAnsi="New York"/>
                <w:i/>
                <w:highlight w:val="yellow"/>
              </w:rPr>
              <w:t>1</w:t>
            </w:r>
            <w:r>
              <w:rPr>
                <w:rFonts w:hint="eastAsia" w:ascii="New York" w:hAnsi="New York"/>
                <w:highlight w:val="yellow"/>
              </w:rPr>
              <w:t xml:space="preserve"> or in </w:t>
            </w:r>
            <w:r>
              <w:rPr>
                <w:rFonts w:hint="eastAsia" w:ascii="New York" w:hAnsi="New York"/>
                <w:i/>
                <w:highlight w:val="yellow"/>
              </w:rPr>
              <w:t>ServingCellConfigCommon</w:t>
            </w:r>
            <w:r>
              <w:rPr>
                <w:rFonts w:hint="eastAsia" w:ascii="New York" w:hAnsi="New York"/>
                <w:highlight w:val="yellow"/>
              </w:rPr>
              <w:t xml:space="preserve">. </w:t>
            </w:r>
            <w:r>
              <w:rPr>
                <w:rFonts w:hint="eastAsia" w:ascii="New York" w:hAnsi="New York"/>
              </w:rPr>
              <w:t xml:space="preserve">If after an integer number of SS/PBCH block indexes to PRACH occasions mapping cycles within the association period there is a set of PRACH occasions </w:t>
            </w:r>
            <w:r>
              <w:rPr>
                <w:rFonts w:hint="eastAsia" w:ascii="New York" w:hAnsi="New York"/>
                <w:color w:val="000000" w:themeColor="text1"/>
                <w:lang w:eastAsia="zh-CN"/>
                <w14:textFill>
                  <w14:solidFill>
                    <w14:schemeClr w14:val="tx1"/>
                  </w14:solidFill>
                </w14:textFill>
              </w:rPr>
              <w:t>or PRACH preambles</w:t>
            </w:r>
            <w:r>
              <w:rPr>
                <w:rFonts w:hint="eastAsia" w:ascii="New York" w:hAnsi="New York"/>
              </w:rPr>
              <w:t xml:space="preserve"> that are not mapped to </w:t>
            </w:r>
            <m:oMath>
              <m:sSubSup>
                <m:sSubSupPr>
                  <m:ctrlPr>
                    <w:rPr>
                      <w:rFonts w:hint="eastAsia" w:ascii="Cambria Math" w:hAnsi="Cambria Math"/>
                      <w:i/>
                    </w:rPr>
                  </m:ctrlPr>
                </m:sSubSupPr>
                <m:e>
                  <m:r>
                    <w:rPr>
                      <w:rFonts w:hint="eastAsia" w:ascii="Cambria Math" w:hAnsi="Cambria Math"/>
                    </w:rPr>
                    <m:t>N</m:t>
                  </m:r>
                  <m:ctrlPr>
                    <w:rPr>
                      <w:rFonts w:hint="eastAsia" w:ascii="Cambria Math" w:hAnsi="Cambria Math"/>
                      <w:i/>
                    </w:rPr>
                  </m:ctrlPr>
                </m:e>
                <m:sub>
                  <m:r>
                    <m:rPr>
                      <m:sty m:val="p"/>
                    </m:rPr>
                    <w:rPr>
                      <w:rFonts w:hint="eastAsia" w:ascii="Cambria Math" w:hAnsi="Cambria Math"/>
                    </w:rPr>
                    <m:t>Tx</m:t>
                  </m:r>
                  <m:ctrlPr>
                    <w:rPr>
                      <w:rFonts w:hint="eastAsia" w:ascii="Cambria Math" w:hAnsi="Cambria Math"/>
                      <w:i/>
                    </w:rPr>
                  </m:ctrlPr>
                </m:sub>
                <m:sup>
                  <m:r>
                    <m:rPr>
                      <m:sty m:val="p"/>
                    </m:rPr>
                    <w:rPr>
                      <w:rFonts w:hint="eastAsia" w:ascii="Cambria Math" w:hAnsi="Cambria Math"/>
                    </w:rPr>
                    <m:t>SSB</m:t>
                  </m:r>
                  <m:ctrlPr>
                    <w:rPr>
                      <w:rFonts w:hint="eastAsia" w:ascii="Cambria Math" w:hAnsi="Cambria Math"/>
                      <w:i/>
                    </w:rPr>
                  </m:ctrlPr>
                </m:sup>
              </m:sSubSup>
            </m:oMath>
            <w:r>
              <w:rPr>
                <w:rFonts w:hint="eastAsia" w:ascii="New York" w:hAnsi="New York"/>
              </w:rPr>
              <w:t xml:space="preserve"> SS/PBCH block indexes, no SS/PBCH block indexes are mapped to the set of PRACH occasions</w:t>
            </w:r>
            <w:r>
              <w:rPr>
                <w:rFonts w:hint="eastAsia" w:ascii="New York" w:hAnsi="New York"/>
                <w:color w:val="000000" w:themeColor="text1"/>
                <w:lang w:eastAsia="zh-CN"/>
                <w14:textFill>
                  <w14:solidFill>
                    <w14:schemeClr w14:val="tx1"/>
                  </w14:solidFill>
                </w14:textFill>
              </w:rPr>
              <w:t xml:space="preserve"> or PRACH preambles</w:t>
            </w:r>
            <w:r>
              <w:rPr>
                <w:rFonts w:hint="eastAsia" w:ascii="New York" w:hAnsi="New York"/>
              </w:rPr>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p>
            <w:pPr>
              <w:overflowPunct/>
              <w:autoSpaceDE/>
              <w:autoSpaceDN/>
              <w:adjustRightInd/>
              <w:spacing w:before="120" w:line="280" w:lineRule="atLeast"/>
              <w:jc w:val="left"/>
              <w:textAlignment w:val="auto"/>
              <w:rPr>
                <w:rFonts w:ascii="New York" w:hAnsi="New York"/>
                <w:lang w:eastAsia="zh-CN"/>
              </w:rPr>
            </w:pPr>
            <w:r>
              <w:rPr>
                <w:rFonts w:hint="eastAsia" w:ascii="New York" w:hAnsi="New York"/>
                <w:lang w:eastAsia="zh-CN"/>
              </w:rPr>
              <w:t>......</w:t>
            </w:r>
          </w:p>
          <w:p>
            <w:pPr>
              <w:overflowPunct/>
              <w:autoSpaceDE/>
              <w:autoSpaceDN/>
              <w:adjustRightInd/>
              <w:spacing w:before="120" w:line="280" w:lineRule="atLeast"/>
              <w:jc w:val="left"/>
              <w:textAlignment w:val="auto"/>
              <w:rPr>
                <w:rFonts w:ascii="New York" w:hAnsi="New York"/>
                <w:lang w:val="en-GB"/>
              </w:rPr>
            </w:pPr>
            <w:r>
              <w:rPr>
                <w:rFonts w:hint="eastAsia" w:ascii="New York" w:hAnsi="New York"/>
                <w:lang w:val="en-GB"/>
              </w:rPr>
              <w:t xml:space="preserve">For paired spectrum </w:t>
            </w:r>
            <w:r>
              <w:rPr>
                <w:rFonts w:hint="eastAsia" w:ascii="New York" w:hAnsi="New York" w:eastAsia="Times New Roman"/>
                <w:lang w:val="en-GB"/>
              </w:rPr>
              <w:t>or supplementary uplink band</w:t>
            </w:r>
            <w:r>
              <w:rPr>
                <w:rFonts w:hint="eastAsia" w:ascii="New York" w:hAnsi="New York"/>
                <w:lang w:val="en-GB"/>
              </w:rPr>
              <w:t xml:space="preserve"> all PRACH occasions are valid. </w:t>
            </w:r>
          </w:p>
          <w:p>
            <w:pPr>
              <w:overflowPunct/>
              <w:autoSpaceDE/>
              <w:autoSpaceDN/>
              <w:adjustRightInd/>
              <w:spacing w:before="120" w:line="280" w:lineRule="atLeast"/>
              <w:jc w:val="left"/>
              <w:textAlignment w:val="auto"/>
              <w:rPr>
                <w:rFonts w:ascii="New York" w:hAnsi="New York"/>
                <w:lang w:val="en-GB"/>
              </w:rPr>
            </w:pPr>
            <w:bookmarkStart w:id="3" w:name="_Hlk29801864"/>
            <w:r>
              <w:rPr>
                <w:rFonts w:hint="eastAsia" w:ascii="New York" w:hAnsi="New York"/>
                <w:lang w:val="en-GB"/>
              </w:rPr>
              <w:t xml:space="preserve">For unpaired spectrum, </w:t>
            </w:r>
          </w:p>
          <w:p>
            <w:pPr>
              <w:spacing w:before="120" w:line="280" w:lineRule="atLeast"/>
              <w:ind w:left="568" w:hanging="284"/>
              <w:rPr>
                <w:rFonts w:ascii="New York" w:hAnsi="New York"/>
              </w:rPr>
            </w:pPr>
            <w:r>
              <w:rPr>
                <w:rFonts w:hint="eastAsia" w:ascii="New York" w:hAnsi="New York"/>
              </w:rPr>
              <w:t>-</w:t>
            </w:r>
            <w:r>
              <w:rPr>
                <w:rFonts w:hint="eastAsia" w:ascii="New York" w:hAnsi="New York"/>
              </w:rPr>
              <w:tab/>
            </w:r>
            <w:r>
              <w:rPr>
                <w:rFonts w:hint="eastAsia" w:ascii="New York" w:hAnsi="New York"/>
              </w:rPr>
              <w:t xml:space="preserve">if a UE is not provided </w:t>
            </w:r>
            <w:r>
              <w:rPr>
                <w:rFonts w:hint="eastAsia" w:ascii="New York" w:hAnsi="New York"/>
                <w:i/>
              </w:rPr>
              <w:t>tdd-UL-DL-ConfigurationCommon</w:t>
            </w:r>
            <w:r>
              <w:rPr>
                <w:rFonts w:hint="eastAsia" w:ascii="New York" w:hAnsi="New York"/>
              </w:rPr>
              <w:t xml:space="preserve">, a PRACH occasion in a PRACH slot is valid if it does not precede a SS/PBCH block in the PRACH slot and starts at least </w:t>
            </w:r>
            <m:oMath>
              <m:sSub>
                <m:sSubPr>
                  <m:ctrlPr>
                    <w:rPr>
                      <w:rFonts w:hint="eastAsia" w:ascii="Cambria Math" w:hAnsi="Cambria Math"/>
                      <w:i/>
                    </w:rPr>
                  </m:ctrlPr>
                </m:sSubPr>
                <m:e>
                  <m:r>
                    <w:rPr>
                      <w:rFonts w:hint="eastAsia" w:ascii="Cambria Math" w:hAnsi="Cambria Math"/>
                    </w:rPr>
                    <m:t>N</m:t>
                  </m:r>
                  <m:ctrlPr>
                    <w:rPr>
                      <w:rFonts w:hint="eastAsia" w:ascii="Cambria Math" w:hAnsi="Cambria Math"/>
                      <w:i/>
                    </w:rPr>
                  </m:ctrlPr>
                </m:e>
                <m:sub>
                  <m:r>
                    <m:rPr>
                      <m:sty m:val="p"/>
                    </m:rPr>
                    <w:rPr>
                      <w:rFonts w:hint="eastAsia" w:ascii="Cambria Math" w:hAnsi="Cambria Math"/>
                    </w:rPr>
                    <m:t>gap</m:t>
                  </m:r>
                  <m:ctrlPr>
                    <w:rPr>
                      <w:rFonts w:hint="eastAsia" w:ascii="Cambria Math" w:hAnsi="Cambria Math"/>
                      <w:i/>
                    </w:rPr>
                  </m:ctrlPr>
                </m:sub>
              </m:sSub>
            </m:oMath>
            <w:r>
              <w:rPr>
                <w:rFonts w:hint="eastAsia" w:ascii="New York" w:hAnsi="New York"/>
              </w:rPr>
              <w:t xml:space="preserve"> symbols after a last SS/PBCH block reception symbol, where </w:t>
            </w:r>
            <m:oMath>
              <m:sSub>
                <m:sSubPr>
                  <m:ctrlPr>
                    <w:rPr>
                      <w:rFonts w:hint="eastAsia" w:ascii="Cambria Math" w:hAnsi="Cambria Math"/>
                      <w:i/>
                    </w:rPr>
                  </m:ctrlPr>
                </m:sSubPr>
                <m:e>
                  <m:r>
                    <w:rPr>
                      <w:rFonts w:hint="eastAsia" w:ascii="Cambria Math" w:hAnsi="Cambria Math"/>
                    </w:rPr>
                    <m:t>N</m:t>
                  </m:r>
                  <m:ctrlPr>
                    <w:rPr>
                      <w:rFonts w:hint="eastAsia" w:ascii="Cambria Math" w:hAnsi="Cambria Math"/>
                      <w:i/>
                    </w:rPr>
                  </m:ctrlPr>
                </m:e>
                <m:sub>
                  <m:r>
                    <m:rPr>
                      <m:sty m:val="p"/>
                    </m:rPr>
                    <w:rPr>
                      <w:rFonts w:hint="eastAsia" w:ascii="Cambria Math" w:hAnsi="Cambria Math"/>
                    </w:rPr>
                    <m:t>gap</m:t>
                  </m:r>
                  <m:ctrlPr>
                    <w:rPr>
                      <w:rFonts w:hint="eastAsia" w:ascii="Cambria Math" w:hAnsi="Cambria Math"/>
                      <w:i/>
                    </w:rPr>
                  </m:ctrlPr>
                </m:sub>
              </m:sSub>
            </m:oMath>
            <w:r>
              <w:rPr>
                <w:rFonts w:hint="eastAsia" w:ascii="New York" w:hAnsi="New York"/>
              </w:rPr>
              <w:t xml:space="preserve"> is provided in Table 8.1-2 and, if </w:t>
            </w:r>
            <w:r>
              <w:rPr>
                <w:rFonts w:hint="eastAsia" w:ascii="New York" w:hAnsi="New York"/>
                <w:i/>
                <w:iCs/>
              </w:rPr>
              <w:t>channelAccess</w:t>
            </w:r>
            <w:r>
              <w:rPr>
                <w:rFonts w:hint="eastAsia" w:ascii="New York" w:hAnsi="New York"/>
                <w:i/>
                <w:iCs/>
                <w:lang w:eastAsia="zh-CN"/>
              </w:rPr>
              <w:t>Mode</w:t>
            </w:r>
            <w:r>
              <w:rPr>
                <w:rFonts w:hint="eastAsia" w:ascii="New York" w:hAnsi="New York"/>
              </w:rPr>
              <w:t xml:space="preserve"> = </w:t>
            </w:r>
            <w:r>
              <w:rPr>
                <w:rFonts w:hint="eastAsia" w:ascii="New York" w:hAnsi="New York"/>
                <w:lang w:val="en-GB"/>
              </w:rPr>
              <w:t>"</w:t>
            </w:r>
            <w:r>
              <w:rPr>
                <w:rFonts w:hint="eastAsia" w:ascii="New York" w:hAnsi="New York"/>
                <w:i/>
                <w:iCs/>
              </w:rPr>
              <w:t>semi</w:t>
            </w:r>
            <w:r>
              <w:rPr>
                <w:rFonts w:hint="eastAsia" w:ascii="New York" w:hAnsi="New York"/>
                <w:i/>
                <w:iCs/>
                <w:lang w:val="en-GB"/>
              </w:rPr>
              <w:t>S</w:t>
            </w:r>
            <w:r>
              <w:rPr>
                <w:rFonts w:hint="eastAsia" w:ascii="New York" w:hAnsi="New York"/>
                <w:i/>
                <w:iCs/>
              </w:rPr>
              <w:t>tatic</w:t>
            </w:r>
            <w:r>
              <w:rPr>
                <w:rFonts w:hint="eastAsia" w:ascii="New York" w:hAnsi="New York"/>
                <w:lang w:val="en-GB"/>
              </w:rPr>
              <w:t>"</w:t>
            </w:r>
            <w:r>
              <w:rPr>
                <w:rFonts w:hint="eastAsia" w:ascii="New York" w:hAnsi="New York"/>
              </w:rPr>
              <w:t xml:space="preserve"> is provided, does not overlap with a set of consecutive symbols before the start of a next channel occupancy time where the UE does not transmit [15, TS 37.213].</w:t>
            </w:r>
          </w:p>
          <w:p>
            <w:pPr>
              <w:spacing w:before="120" w:line="280" w:lineRule="atLeast"/>
              <w:ind w:left="851" w:hanging="284"/>
              <w:rPr>
                <w:rFonts w:ascii="New York" w:hAnsi="New York"/>
                <w:lang w:eastAsia="zh-CN"/>
              </w:rPr>
            </w:pPr>
            <w:r>
              <w:rPr>
                <w:rFonts w:hint="eastAsia" w:ascii="New York" w:hAnsi="New York"/>
              </w:rPr>
              <w:t>-</w:t>
            </w:r>
            <w:r>
              <w:rPr>
                <w:rFonts w:hint="eastAsia" w:ascii="New York" w:hAnsi="New York"/>
              </w:rPr>
              <w:tab/>
            </w:r>
            <w:r>
              <w:rPr>
                <w:rFonts w:hint="eastAsia" w:ascii="New York" w:hAnsi="New York"/>
              </w:rPr>
              <w:t>the</w:t>
            </w:r>
            <w:r>
              <w:rPr>
                <w:rFonts w:hint="eastAsia" w:ascii="New York" w:hAnsi="New York" w:eastAsia="MS Mincho"/>
              </w:rPr>
              <w:t xml:space="preserve"> candidate SS/PBCH block</w:t>
            </w:r>
            <w:r>
              <w:rPr>
                <w:rFonts w:hint="eastAsia" w:ascii="New York" w:hAnsi="New York"/>
              </w:rPr>
              <w:t xml:space="preserve"> index of the SS/PBCH block </w:t>
            </w:r>
            <w:r>
              <w:rPr>
                <w:rFonts w:hint="eastAsia" w:ascii="New York" w:hAnsi="New York" w:eastAsia="MS Mincho"/>
              </w:rPr>
              <w:t>corresponds to the SS/PBCH block index</w:t>
            </w:r>
            <w:r>
              <w:rPr>
                <w:rFonts w:hint="eastAsia" w:ascii="New York" w:hAnsi="New York"/>
              </w:rPr>
              <w:t xml:space="preserve"> </w:t>
            </w:r>
            <w:r>
              <w:rPr>
                <w:rFonts w:hint="eastAsia" w:ascii="New York" w:hAnsi="New York"/>
                <w:lang w:eastAsia="zh-CN"/>
              </w:rPr>
              <w:t>provided by</w:t>
            </w:r>
            <w:r>
              <w:rPr>
                <w:rFonts w:hint="eastAsia" w:ascii="New York" w:hAnsi="New York"/>
              </w:rPr>
              <w:t xml:space="preserve"> </w:t>
            </w:r>
            <w:r>
              <w:rPr>
                <w:rFonts w:hint="eastAsia" w:ascii="New York" w:hAnsi="New York"/>
                <w:i/>
                <w:highlight w:val="yellow"/>
              </w:rPr>
              <w:t>ssb-PositionsInBurst</w:t>
            </w:r>
            <w:r>
              <w:rPr>
                <w:rFonts w:hint="eastAsia" w:ascii="New York" w:hAnsi="New York"/>
                <w:highlight w:val="yellow"/>
              </w:rPr>
              <w:t xml:space="preserve"> in </w:t>
            </w:r>
            <w:r>
              <w:rPr>
                <w:rFonts w:hint="eastAsia" w:ascii="New York" w:hAnsi="New York"/>
                <w:i/>
                <w:highlight w:val="yellow"/>
              </w:rPr>
              <w:t>S</w:t>
            </w:r>
            <w:r>
              <w:rPr>
                <w:rFonts w:hint="eastAsia" w:ascii="New York" w:hAnsi="New York"/>
                <w:i/>
                <w:highlight w:val="yellow"/>
                <w:lang w:eastAsia="zh-CN"/>
              </w:rPr>
              <w:t>IB</w:t>
            </w:r>
            <w:r>
              <w:rPr>
                <w:rFonts w:hint="eastAsia" w:ascii="New York" w:hAnsi="New York"/>
                <w:i/>
                <w:highlight w:val="yellow"/>
              </w:rPr>
              <w:t>1</w:t>
            </w:r>
            <w:r>
              <w:rPr>
                <w:rFonts w:hint="eastAsia" w:ascii="New York" w:hAnsi="New York"/>
                <w:highlight w:val="yellow"/>
              </w:rPr>
              <w:t xml:space="preserve"> or in </w:t>
            </w:r>
            <w:r>
              <w:rPr>
                <w:rFonts w:hint="eastAsia" w:ascii="New York" w:hAnsi="New York"/>
                <w:i/>
                <w:highlight w:val="yellow"/>
              </w:rPr>
              <w:t>ServingCellConfigCommon</w:t>
            </w:r>
            <w:r>
              <w:rPr>
                <w:rFonts w:hint="eastAsia" w:ascii="New York" w:hAnsi="New York"/>
                <w:lang w:eastAsia="zh-CN"/>
              </w:rPr>
              <w:t xml:space="preserve"> , </w:t>
            </w:r>
            <w:r>
              <w:rPr>
                <w:rFonts w:hint="eastAsia" w:ascii="New York" w:hAnsi="New York" w:eastAsia="MS Mincho"/>
              </w:rPr>
              <w:t>as described in clause 4.1</w:t>
            </w:r>
          </w:p>
          <w:p>
            <w:pPr>
              <w:spacing w:before="120" w:line="280" w:lineRule="atLeast"/>
              <w:ind w:left="568" w:hanging="284"/>
              <w:rPr>
                <w:rFonts w:ascii="New York" w:hAnsi="New York"/>
              </w:rPr>
            </w:pPr>
            <w:r>
              <w:rPr>
                <w:rFonts w:hint="eastAsia" w:ascii="New York" w:hAnsi="New York"/>
                <w:lang w:eastAsia="zh-CN"/>
              </w:rPr>
              <w:t>-</w:t>
            </w:r>
            <w:r>
              <w:rPr>
                <w:rFonts w:hint="eastAsia" w:ascii="New York" w:hAnsi="New York"/>
                <w:lang w:eastAsia="zh-CN"/>
              </w:rPr>
              <w:tab/>
            </w:r>
            <w:r>
              <w:rPr>
                <w:rFonts w:hint="eastAsia" w:ascii="New York" w:hAnsi="New York"/>
                <w:lang w:eastAsia="zh-CN"/>
              </w:rPr>
              <w:t xml:space="preserve">If a UE is provided </w:t>
            </w:r>
            <w:r>
              <w:rPr>
                <w:rFonts w:hint="eastAsia" w:ascii="New York" w:hAnsi="New York"/>
                <w:i/>
              </w:rPr>
              <w:t>tdd-UL-DL-ConfigurationCommon</w:t>
            </w:r>
            <w:r>
              <w:rPr>
                <w:rFonts w:hint="eastAsia" w:ascii="New York" w:hAnsi="New York"/>
              </w:rPr>
              <w:t xml:space="preserve">, a PRACH occasion in a PRACH slot is valid if </w:t>
            </w:r>
          </w:p>
          <w:p>
            <w:pPr>
              <w:spacing w:before="120" w:line="280" w:lineRule="atLeast"/>
              <w:ind w:left="851" w:hanging="284"/>
              <w:rPr>
                <w:rFonts w:ascii="New York" w:hAnsi="New York"/>
              </w:rPr>
            </w:pPr>
            <w:r>
              <w:rPr>
                <w:rFonts w:hint="eastAsia" w:ascii="New York" w:hAnsi="New York"/>
              </w:rPr>
              <w:t>-</w:t>
            </w:r>
            <w:r>
              <w:rPr>
                <w:rFonts w:hint="eastAsia" w:ascii="New York" w:hAnsi="New York"/>
              </w:rPr>
              <w:tab/>
            </w:r>
            <w:r>
              <w:rPr>
                <w:rFonts w:hint="eastAsia" w:ascii="New York" w:hAnsi="New York"/>
              </w:rPr>
              <w:t xml:space="preserve">it is within UL symbols, or </w:t>
            </w:r>
          </w:p>
          <w:p>
            <w:pPr>
              <w:spacing w:before="120" w:line="280" w:lineRule="atLeast"/>
              <w:ind w:left="851" w:hanging="284"/>
              <w:rPr>
                <w:rFonts w:ascii="New York" w:hAnsi="New York"/>
                <w:i/>
              </w:rPr>
            </w:pPr>
            <w:r>
              <w:rPr>
                <w:rFonts w:hint="eastAsia" w:ascii="New York" w:hAnsi="New York"/>
              </w:rPr>
              <w:t>-</w:t>
            </w:r>
            <w:r>
              <w:rPr>
                <w:rFonts w:hint="eastAsia" w:ascii="New York" w:hAnsi="New York"/>
              </w:rPr>
              <w:tab/>
            </w:r>
            <w:r>
              <w:rPr>
                <w:rFonts w:hint="eastAsia" w:ascii="New York" w:hAnsi="New York"/>
              </w:rPr>
              <w:t xml:space="preserve">it does not precede a SS/PBCH block in the PRACH slot and starts at least </w:t>
            </w:r>
            <m:oMath>
              <m:sSub>
                <m:sSubPr>
                  <m:ctrlPr>
                    <w:rPr>
                      <w:rFonts w:hint="eastAsia" w:ascii="Cambria Math" w:hAnsi="Cambria Math"/>
                      <w:i/>
                    </w:rPr>
                  </m:ctrlPr>
                </m:sSubPr>
                <m:e>
                  <m:r>
                    <w:rPr>
                      <w:rFonts w:hint="eastAsia" w:ascii="Cambria Math" w:hAnsi="Cambria Math"/>
                    </w:rPr>
                    <m:t>N</m:t>
                  </m:r>
                  <m:ctrlPr>
                    <w:rPr>
                      <w:rFonts w:hint="eastAsia" w:ascii="Cambria Math" w:hAnsi="Cambria Math"/>
                      <w:i/>
                    </w:rPr>
                  </m:ctrlPr>
                </m:e>
                <m:sub>
                  <m:r>
                    <m:rPr>
                      <m:sty m:val="p"/>
                    </m:rPr>
                    <w:rPr>
                      <w:rFonts w:hint="eastAsia" w:ascii="Cambria Math" w:hAnsi="Cambria Math"/>
                    </w:rPr>
                    <m:t>gap</m:t>
                  </m:r>
                  <m:ctrlPr>
                    <w:rPr>
                      <w:rFonts w:hint="eastAsia" w:ascii="Cambria Math" w:hAnsi="Cambria Math"/>
                      <w:i/>
                    </w:rPr>
                  </m:ctrlPr>
                </m:sub>
              </m:sSub>
            </m:oMath>
            <w:r>
              <w:rPr>
                <w:rFonts w:hint="eastAsia" w:ascii="New York" w:hAnsi="New York"/>
              </w:rPr>
              <w:t xml:space="preserve"> symbols after a last downlink symbol and at least </w:t>
            </w:r>
            <m:oMath>
              <m:sSub>
                <m:sSubPr>
                  <m:ctrlPr>
                    <w:rPr>
                      <w:rFonts w:hint="eastAsia" w:ascii="Cambria Math" w:hAnsi="Cambria Math"/>
                      <w:i/>
                    </w:rPr>
                  </m:ctrlPr>
                </m:sSubPr>
                <m:e>
                  <m:r>
                    <w:rPr>
                      <w:rFonts w:hint="eastAsia" w:ascii="Cambria Math" w:hAnsi="Cambria Math"/>
                    </w:rPr>
                    <m:t>N</m:t>
                  </m:r>
                  <m:ctrlPr>
                    <w:rPr>
                      <w:rFonts w:hint="eastAsia" w:ascii="Cambria Math" w:hAnsi="Cambria Math"/>
                      <w:i/>
                    </w:rPr>
                  </m:ctrlPr>
                </m:e>
                <m:sub>
                  <m:r>
                    <m:rPr>
                      <m:sty m:val="p"/>
                    </m:rPr>
                    <w:rPr>
                      <w:rFonts w:hint="eastAsia" w:ascii="Cambria Math" w:hAnsi="Cambria Math"/>
                    </w:rPr>
                    <m:t>gap</m:t>
                  </m:r>
                  <m:ctrlPr>
                    <w:rPr>
                      <w:rFonts w:hint="eastAsia" w:ascii="Cambria Math" w:hAnsi="Cambria Math"/>
                      <w:i/>
                    </w:rPr>
                  </m:ctrlPr>
                </m:sub>
              </m:sSub>
            </m:oMath>
            <w:r>
              <w:rPr>
                <w:rFonts w:hint="eastAsia" w:ascii="New York" w:hAnsi="New York"/>
              </w:rPr>
              <w:t xml:space="preserve"> symbols after a last SS/PBCH block symbol, where </w:t>
            </w:r>
            <m:oMath>
              <m:sSub>
                <m:sSubPr>
                  <m:ctrlPr>
                    <w:rPr>
                      <w:rFonts w:hint="eastAsia" w:ascii="Cambria Math" w:hAnsi="Cambria Math"/>
                      <w:i/>
                    </w:rPr>
                  </m:ctrlPr>
                </m:sSubPr>
                <m:e>
                  <m:r>
                    <w:rPr>
                      <w:rFonts w:hint="eastAsia" w:ascii="Cambria Math" w:hAnsi="Cambria Math"/>
                    </w:rPr>
                    <m:t>N</m:t>
                  </m:r>
                  <m:ctrlPr>
                    <w:rPr>
                      <w:rFonts w:hint="eastAsia" w:ascii="Cambria Math" w:hAnsi="Cambria Math"/>
                      <w:i/>
                    </w:rPr>
                  </m:ctrlPr>
                </m:e>
                <m:sub>
                  <m:r>
                    <m:rPr>
                      <m:sty m:val="p"/>
                    </m:rPr>
                    <w:rPr>
                      <w:rFonts w:hint="eastAsia" w:ascii="Cambria Math" w:hAnsi="Cambria Math"/>
                    </w:rPr>
                    <m:t>gap</m:t>
                  </m:r>
                  <m:ctrlPr>
                    <w:rPr>
                      <w:rFonts w:hint="eastAsia" w:ascii="Cambria Math" w:hAnsi="Cambria Math"/>
                      <w:i/>
                    </w:rPr>
                  </m:ctrlPr>
                </m:sub>
              </m:sSub>
            </m:oMath>
            <w:r>
              <w:rPr>
                <w:rFonts w:hint="eastAsia" w:ascii="New York" w:hAnsi="New York"/>
              </w:rPr>
              <w:t xml:space="preserve"> is provided in Table 8.1-2, and if </w:t>
            </w:r>
            <w:r>
              <w:rPr>
                <w:rFonts w:hint="eastAsia" w:ascii="New York" w:hAnsi="New York"/>
                <w:i/>
              </w:rPr>
              <w:t>channelAccessMode</w:t>
            </w:r>
            <w:r>
              <w:rPr>
                <w:rFonts w:hint="eastAsia" w:ascii="New York" w:hAnsi="New York"/>
              </w:rPr>
              <w:t xml:space="preserve"> = </w:t>
            </w:r>
            <w:r>
              <w:rPr>
                <w:rFonts w:hint="eastAsia" w:ascii="New York" w:hAnsi="New York"/>
                <w:lang w:val="en-GB"/>
              </w:rPr>
              <w:t>"</w:t>
            </w:r>
            <w:r>
              <w:rPr>
                <w:rFonts w:hint="eastAsia" w:ascii="New York" w:hAnsi="New York"/>
                <w:i/>
              </w:rPr>
              <w:t>semi</w:t>
            </w:r>
            <w:r>
              <w:rPr>
                <w:rFonts w:hint="eastAsia" w:ascii="New York" w:hAnsi="New York"/>
                <w:i/>
                <w:lang w:val="en-GB"/>
              </w:rPr>
              <w:t>S</w:t>
            </w:r>
            <w:r>
              <w:rPr>
                <w:rFonts w:hint="eastAsia" w:ascii="New York" w:hAnsi="New York"/>
                <w:i/>
              </w:rPr>
              <w:t>tatic</w:t>
            </w:r>
            <w:r>
              <w:rPr>
                <w:rFonts w:hint="eastAsia" w:ascii="New York" w:hAnsi="New York"/>
                <w:iCs/>
                <w:lang w:val="en-GB"/>
              </w:rPr>
              <w:t>"</w:t>
            </w:r>
            <w:r>
              <w:rPr>
                <w:rFonts w:hint="eastAsia" w:ascii="New York" w:hAnsi="New York"/>
                <w:iCs/>
              </w:rPr>
              <w:t xml:space="preserve"> </w:t>
            </w:r>
            <w:r>
              <w:rPr>
                <w:rFonts w:hint="eastAsia" w:ascii="New York" w:hAnsi="New York"/>
              </w:rPr>
              <w:t>is provided, does not overlap with a set of consecutive symbols before the start of a next channel occupancy time where there shall not be any transmissions, as described in [15, TS 37.213]</w:t>
            </w:r>
          </w:p>
          <w:p>
            <w:pPr>
              <w:spacing w:before="120" w:line="280" w:lineRule="atLeast"/>
              <w:ind w:left="1135" w:hanging="284"/>
              <w:rPr>
                <w:rFonts w:ascii="New York" w:hAnsi="New York"/>
                <w:lang w:val="en-GB"/>
              </w:rPr>
            </w:pPr>
            <w:r>
              <w:rPr>
                <w:rFonts w:hint="eastAsia" w:ascii="New York" w:hAnsi="New York"/>
                <w:lang w:val="en-GB"/>
              </w:rPr>
              <w:t>-</w:t>
            </w:r>
            <w:r>
              <w:rPr>
                <w:rFonts w:hint="eastAsia" w:ascii="New York" w:hAnsi="New York"/>
                <w:lang w:val="en-GB"/>
              </w:rPr>
              <w:tab/>
            </w:r>
            <w:r>
              <w:rPr>
                <w:rFonts w:hint="eastAsia" w:ascii="New York" w:hAnsi="New York"/>
                <w:lang w:val="en-GB"/>
              </w:rPr>
              <w:t xml:space="preserve">the </w:t>
            </w:r>
            <w:r>
              <w:rPr>
                <w:rFonts w:hint="eastAsia" w:ascii="New York" w:hAnsi="New York" w:eastAsia="MS Mincho"/>
                <w:lang w:val="en-GB"/>
              </w:rPr>
              <w:t xml:space="preserve">candidate SS/PBCH block </w:t>
            </w:r>
            <w:r>
              <w:rPr>
                <w:rFonts w:hint="eastAsia" w:ascii="New York" w:hAnsi="New York"/>
                <w:lang w:val="en-GB"/>
              </w:rPr>
              <w:t xml:space="preserve">index of the SS/PBCH block </w:t>
            </w:r>
            <w:r>
              <w:rPr>
                <w:rFonts w:hint="eastAsia" w:ascii="New York" w:hAnsi="New York" w:eastAsia="MS Mincho"/>
                <w:lang w:val="en-GB"/>
              </w:rPr>
              <w:t>corresponds to the SS/PBCH block index</w:t>
            </w:r>
            <w:r>
              <w:rPr>
                <w:rFonts w:hint="eastAsia" w:ascii="New York" w:hAnsi="New York"/>
                <w:lang w:val="en-GB"/>
              </w:rPr>
              <w:t xml:space="preserve"> </w:t>
            </w:r>
            <w:r>
              <w:rPr>
                <w:rFonts w:hint="eastAsia" w:ascii="New York" w:hAnsi="New York"/>
                <w:lang w:val="en-GB" w:eastAsia="zh-CN"/>
              </w:rPr>
              <w:t>provided by</w:t>
            </w:r>
            <w:r>
              <w:rPr>
                <w:rFonts w:hint="eastAsia" w:ascii="New York" w:hAnsi="New York"/>
                <w:lang w:val="en-GB"/>
              </w:rPr>
              <w:t xml:space="preserve"> </w:t>
            </w:r>
            <w:r>
              <w:rPr>
                <w:rFonts w:hint="eastAsia" w:ascii="New York" w:hAnsi="New York"/>
                <w:i/>
                <w:highlight w:val="yellow"/>
                <w:lang w:val="en-GB"/>
              </w:rPr>
              <w:t>ssb-PositionsInBurst</w:t>
            </w:r>
            <w:r>
              <w:rPr>
                <w:rFonts w:hint="eastAsia" w:ascii="New York" w:hAnsi="New York"/>
                <w:highlight w:val="yellow"/>
                <w:lang w:val="en-GB"/>
              </w:rPr>
              <w:t xml:space="preserve"> </w:t>
            </w:r>
            <w:r>
              <w:rPr>
                <w:rFonts w:hint="eastAsia" w:ascii="New York" w:hAnsi="New York"/>
                <w:highlight w:val="yellow"/>
              </w:rPr>
              <w:t xml:space="preserve">in </w:t>
            </w:r>
            <w:r>
              <w:rPr>
                <w:rFonts w:hint="eastAsia" w:ascii="New York" w:hAnsi="New York"/>
                <w:i/>
                <w:highlight w:val="yellow"/>
                <w:lang w:val="en-GB"/>
              </w:rPr>
              <w:t>S</w:t>
            </w:r>
            <w:r>
              <w:rPr>
                <w:rFonts w:hint="eastAsia" w:ascii="New York" w:hAnsi="New York"/>
                <w:i/>
                <w:highlight w:val="yellow"/>
                <w:lang w:val="en-GB" w:eastAsia="zh-CN"/>
              </w:rPr>
              <w:t>IB</w:t>
            </w:r>
            <w:r>
              <w:rPr>
                <w:rFonts w:hint="eastAsia" w:ascii="New York" w:hAnsi="New York"/>
                <w:i/>
                <w:highlight w:val="yellow"/>
                <w:lang w:val="en-GB"/>
              </w:rPr>
              <w:t>1</w:t>
            </w:r>
            <w:r>
              <w:rPr>
                <w:rFonts w:hint="eastAsia" w:ascii="New York" w:hAnsi="New York"/>
                <w:highlight w:val="yellow"/>
                <w:lang w:val="en-GB"/>
              </w:rPr>
              <w:t xml:space="preserve"> or in </w:t>
            </w:r>
            <w:r>
              <w:rPr>
                <w:rFonts w:hint="eastAsia" w:ascii="New York" w:hAnsi="New York"/>
                <w:i/>
                <w:highlight w:val="yellow"/>
                <w:lang w:val="en-GB"/>
              </w:rPr>
              <w:t>ServingCellConfigCommon</w:t>
            </w:r>
            <w:r>
              <w:rPr>
                <w:rFonts w:hint="eastAsia" w:ascii="New York" w:hAnsi="New York"/>
                <w:lang w:val="en-GB"/>
              </w:rPr>
              <w:t xml:space="preserve">, </w:t>
            </w:r>
            <w:r>
              <w:rPr>
                <w:rFonts w:hint="eastAsia" w:ascii="New York" w:hAnsi="New York" w:eastAsia="MS Mincho"/>
                <w:lang w:val="en-GB"/>
              </w:rPr>
              <w:t>as described in clause 4.1</w:t>
            </w:r>
            <w:r>
              <w:rPr>
                <w:rFonts w:hint="eastAsia" w:ascii="New York" w:hAnsi="New York"/>
                <w:lang w:val="en-GB"/>
              </w:rPr>
              <w:t xml:space="preserve">. </w:t>
            </w:r>
          </w:p>
          <w:bookmarkEnd w:id="3"/>
          <w:p>
            <w:pPr>
              <w:pStyle w:val="87"/>
              <w:spacing w:before="120" w:after="240" w:line="280" w:lineRule="atLeast"/>
              <w:rPr>
                <w:rFonts w:ascii="New York" w:hAnsi="New York"/>
                <w:lang w:eastAsia="zh-CN"/>
              </w:rPr>
            </w:pPr>
          </w:p>
        </w:tc>
      </w:tr>
    </w:tbl>
    <w:p>
      <w:pPr>
        <w:rPr>
          <w:lang w:eastAsia="zh-CN"/>
        </w:rPr>
      </w:pPr>
    </w:p>
    <w:p>
      <w:pPr>
        <w:rPr>
          <w:lang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lang w:val="en-GB" w:eastAsia="zh-CN"/>
              </w:rPr>
            </w:pPr>
            <w:r>
              <w:rPr>
                <w:rFonts w:hint="eastAsia" w:ascii="New York" w:hAnsi="New York"/>
                <w:lang w:eastAsia="zh-CN"/>
              </w:rPr>
              <w:t>TS38.213 clause 8.1A</w:t>
            </w:r>
          </w:p>
          <w:p>
            <w:pPr>
              <w:overflowPunct/>
              <w:autoSpaceDE/>
              <w:autoSpaceDN/>
              <w:adjustRightInd/>
              <w:spacing w:before="120" w:line="280" w:lineRule="atLeast"/>
              <w:jc w:val="left"/>
              <w:textAlignment w:val="auto"/>
              <w:rPr>
                <w:rFonts w:ascii="New York" w:hAnsi="New York"/>
                <w:lang w:val="en-GB" w:eastAsia="zh-CN"/>
              </w:rPr>
            </w:pPr>
            <w:r>
              <w:rPr>
                <w:rFonts w:hint="eastAsia" w:ascii="New York" w:hAnsi="New York"/>
                <w:lang w:val="en-GB" w:eastAsia="zh-CN"/>
              </w:rPr>
              <w:t>A PUSCH occasion is valid if it does not overlap in time and frequency with any valid PRACH occasion associated with either a Type-1 random access procedure or a Type-2 random access procedure. Additionally, for unpaired spectrum and for SS/PBCH blocks with indexes provided by</w:t>
            </w:r>
            <w:r>
              <w:rPr>
                <w:rFonts w:hint="eastAsia" w:ascii="New York" w:hAnsi="New York"/>
                <w:highlight w:val="yellow"/>
                <w:lang w:val="en-GB"/>
              </w:rPr>
              <w:t xml:space="preserve"> </w:t>
            </w:r>
            <w:r>
              <w:rPr>
                <w:rFonts w:hint="eastAsia" w:ascii="New York" w:hAnsi="New York"/>
                <w:i/>
                <w:highlight w:val="yellow"/>
                <w:lang w:val="en-GB"/>
              </w:rPr>
              <w:t>ssb-PositionsInBurst</w:t>
            </w:r>
            <w:r>
              <w:rPr>
                <w:rFonts w:hint="eastAsia" w:ascii="New York" w:hAnsi="New York"/>
                <w:highlight w:val="yellow"/>
                <w:lang w:val="en-GB"/>
              </w:rPr>
              <w:t xml:space="preserve"> </w:t>
            </w:r>
            <w:r>
              <w:rPr>
                <w:rFonts w:hint="eastAsia" w:ascii="New York" w:hAnsi="New York"/>
                <w:highlight w:val="yellow"/>
              </w:rPr>
              <w:t xml:space="preserve">in </w:t>
            </w:r>
            <w:r>
              <w:rPr>
                <w:rFonts w:hint="eastAsia" w:ascii="New York" w:hAnsi="New York"/>
                <w:i/>
                <w:highlight w:val="yellow"/>
                <w:lang w:val="en-GB"/>
              </w:rPr>
              <w:t>S</w:t>
            </w:r>
            <w:r>
              <w:rPr>
                <w:rFonts w:hint="eastAsia" w:ascii="New York" w:hAnsi="New York"/>
                <w:i/>
                <w:highlight w:val="yellow"/>
                <w:lang w:val="en-GB" w:eastAsia="zh-CN"/>
              </w:rPr>
              <w:t>IB</w:t>
            </w:r>
            <w:r>
              <w:rPr>
                <w:rFonts w:hint="eastAsia" w:ascii="New York" w:hAnsi="New York"/>
                <w:i/>
                <w:highlight w:val="yellow"/>
                <w:lang w:val="en-GB"/>
              </w:rPr>
              <w:t>1</w:t>
            </w:r>
            <w:r>
              <w:rPr>
                <w:rFonts w:hint="eastAsia" w:ascii="New York" w:hAnsi="New York"/>
                <w:highlight w:val="yellow"/>
                <w:lang w:val="en-GB"/>
              </w:rPr>
              <w:t xml:space="preserve"> or by </w:t>
            </w:r>
            <w:r>
              <w:rPr>
                <w:rFonts w:hint="eastAsia" w:ascii="New York" w:hAnsi="New York"/>
                <w:i/>
                <w:highlight w:val="yellow"/>
                <w:lang w:val="en-GB"/>
              </w:rPr>
              <w:t>ServingCellConfigCommon</w:t>
            </w:r>
            <w:r>
              <w:rPr>
                <w:rFonts w:hint="eastAsia" w:ascii="New York" w:hAnsi="New York"/>
                <w:highlight w:val="yellow"/>
                <w:lang w:val="en-GB" w:eastAsia="zh-CN"/>
              </w:rPr>
              <w:t xml:space="preserve"> </w:t>
            </w:r>
          </w:p>
          <w:p>
            <w:pPr>
              <w:spacing w:before="120" w:after="240" w:line="280" w:lineRule="atLeast"/>
              <w:ind w:left="568" w:hanging="284"/>
              <w:rPr>
                <w:rFonts w:ascii="New York" w:hAnsi="New York"/>
              </w:rPr>
            </w:pPr>
            <w:r>
              <w:rPr>
                <w:rFonts w:hint="eastAsia" w:ascii="New York" w:hAnsi="New York"/>
              </w:rPr>
              <w:t>-</w:t>
            </w:r>
            <w:r>
              <w:rPr>
                <w:rFonts w:hint="eastAsia" w:ascii="New York" w:hAnsi="New York"/>
              </w:rPr>
              <w:tab/>
            </w:r>
            <w:r>
              <w:rPr>
                <w:rFonts w:hint="eastAsia" w:ascii="New York" w:hAnsi="New York"/>
                <w:lang w:eastAsia="zh-CN"/>
              </w:rPr>
              <w:t xml:space="preserve">if a UE is not provided </w:t>
            </w:r>
            <w:r>
              <w:rPr>
                <w:rFonts w:hint="eastAsia" w:ascii="New York" w:hAnsi="New York"/>
                <w:i/>
              </w:rPr>
              <w:t>tdd-UL-DL-ConfigurationCommon</w:t>
            </w:r>
            <w:r>
              <w:rPr>
                <w:rFonts w:hint="eastAsia" w:ascii="New York" w:hAnsi="New York"/>
              </w:rPr>
              <w:t>, a PUSCH occasion is valid if the PUSCH occasion</w:t>
            </w:r>
          </w:p>
          <w:p>
            <w:pPr>
              <w:spacing w:before="120" w:line="280" w:lineRule="atLeast"/>
              <w:ind w:left="851" w:hanging="284"/>
              <w:rPr>
                <w:rFonts w:ascii="New York" w:hAnsi="New York"/>
              </w:rPr>
            </w:pPr>
            <w:r>
              <w:rPr>
                <w:rFonts w:hint="eastAsia" w:ascii="New York" w:hAnsi="New York"/>
              </w:rPr>
              <w:t>-</w:t>
            </w:r>
            <w:r>
              <w:rPr>
                <w:rFonts w:hint="eastAsia" w:ascii="New York" w:hAnsi="New York"/>
              </w:rPr>
              <w:tab/>
            </w:r>
            <w:r>
              <w:rPr>
                <w:rFonts w:hint="eastAsia" w:ascii="New York" w:hAnsi="New York"/>
              </w:rPr>
              <w:t xml:space="preserve">does not precede a SS/PBCH block in the PUSCH slot, and </w:t>
            </w:r>
          </w:p>
          <w:p>
            <w:pPr>
              <w:spacing w:before="120" w:line="280" w:lineRule="atLeast"/>
              <w:ind w:left="851" w:hanging="284"/>
              <w:rPr>
                <w:rFonts w:ascii="New York" w:hAnsi="New York"/>
              </w:rPr>
            </w:pPr>
            <w:r>
              <w:rPr>
                <w:rFonts w:hint="eastAsia" w:ascii="New York" w:hAnsi="New York"/>
              </w:rPr>
              <w:t>-</w:t>
            </w:r>
            <w:r>
              <w:rPr>
                <w:rFonts w:hint="eastAsia" w:ascii="New York" w:hAnsi="New York"/>
              </w:rPr>
              <w:tab/>
            </w:r>
            <w:r>
              <w:rPr>
                <w:rFonts w:hint="eastAsia" w:ascii="New York" w:hAnsi="New York"/>
              </w:rPr>
              <w:t xml:space="preserve">starts at least </w:t>
            </w:r>
            <m:oMath>
              <m:sSub>
                <m:sSubPr>
                  <m:ctrlPr>
                    <w:rPr>
                      <w:rFonts w:hint="eastAsia" w:ascii="Cambria Math" w:hAnsi="Cambria Math"/>
                      <w:i/>
                    </w:rPr>
                  </m:ctrlPr>
                </m:sSubPr>
                <m:e>
                  <m:r>
                    <w:rPr>
                      <w:rFonts w:hint="eastAsia" w:ascii="Cambria Math" w:hAnsi="Cambria Math"/>
                    </w:rPr>
                    <m:t>N</m:t>
                  </m:r>
                  <m:ctrlPr>
                    <w:rPr>
                      <w:rFonts w:hint="eastAsia" w:ascii="Cambria Math" w:hAnsi="Cambria Math"/>
                      <w:i/>
                    </w:rPr>
                  </m:ctrlPr>
                </m:e>
                <m:sub>
                  <m:r>
                    <m:rPr>
                      <m:nor/>
                      <m:sty m:val="p"/>
                    </m:rPr>
                    <w:rPr>
                      <w:rFonts w:hint="eastAsia" w:ascii="New York" w:hAnsi="New York"/>
                      <w:b w:val="0"/>
                      <w:i w:val="0"/>
                    </w:rPr>
                    <m:t>gap</m:t>
                  </m:r>
                  <m:ctrlPr>
                    <w:rPr>
                      <w:rFonts w:hint="eastAsia" w:ascii="Cambria Math" w:hAnsi="Cambria Math"/>
                    </w:rPr>
                  </m:ctrlPr>
                </m:sub>
              </m:sSub>
            </m:oMath>
            <w:r>
              <w:rPr>
                <w:rFonts w:hint="eastAsia" w:ascii="New York" w:hAnsi="New York"/>
              </w:rPr>
              <w:t xml:space="preserve"> symbols after a last SS/PBCH block symbol, where </w:t>
            </w:r>
            <m:oMath>
              <m:sSub>
                <m:sSubPr>
                  <m:ctrlPr>
                    <w:rPr>
                      <w:rFonts w:hint="eastAsia" w:ascii="Cambria Math" w:hAnsi="Cambria Math"/>
                      <w:i/>
                    </w:rPr>
                  </m:ctrlPr>
                </m:sSubPr>
                <m:e>
                  <m:r>
                    <w:rPr>
                      <w:rFonts w:hint="eastAsia" w:ascii="Cambria Math" w:hAnsi="Cambria Math"/>
                    </w:rPr>
                    <m:t>N</m:t>
                  </m:r>
                  <m:ctrlPr>
                    <w:rPr>
                      <w:rFonts w:hint="eastAsia" w:ascii="Cambria Math" w:hAnsi="Cambria Math"/>
                      <w:i/>
                    </w:rPr>
                  </m:ctrlPr>
                </m:e>
                <m:sub>
                  <m:r>
                    <m:rPr>
                      <m:nor/>
                      <m:sty m:val="p"/>
                    </m:rPr>
                    <w:rPr>
                      <w:rFonts w:hint="eastAsia" w:ascii="New York" w:hAnsi="New York"/>
                      <w:b w:val="0"/>
                      <w:i w:val="0"/>
                    </w:rPr>
                    <m:t>gap</m:t>
                  </m:r>
                  <m:ctrlPr>
                    <w:rPr>
                      <w:rFonts w:hint="eastAsia" w:ascii="Cambria Math" w:hAnsi="Cambria Math"/>
                    </w:rPr>
                  </m:ctrlPr>
                </m:sub>
              </m:sSub>
            </m:oMath>
            <w:r>
              <w:rPr>
                <w:rFonts w:hint="eastAsia" w:ascii="New York" w:hAnsi="New York"/>
              </w:rPr>
              <w:t xml:space="preserve"> is provided in Table 8.1-2 and, if </w:t>
            </w:r>
            <w:r>
              <w:rPr>
                <w:rFonts w:hint="eastAsia" w:ascii="New York" w:hAnsi="New York"/>
                <w:i/>
                <w:iCs/>
              </w:rPr>
              <w:t>channelAccess</w:t>
            </w:r>
            <w:r>
              <w:rPr>
                <w:rFonts w:hint="eastAsia" w:ascii="New York" w:hAnsi="New York"/>
                <w:i/>
                <w:iCs/>
                <w:lang w:eastAsia="zh-CN"/>
              </w:rPr>
              <w:t>Mode</w:t>
            </w:r>
            <w:r>
              <w:rPr>
                <w:rFonts w:hint="eastAsia" w:ascii="New York" w:hAnsi="New York"/>
              </w:rPr>
              <w:t xml:space="preserve"> = </w:t>
            </w:r>
            <w:r>
              <w:rPr>
                <w:rFonts w:hint="eastAsia" w:ascii="New York" w:hAnsi="New York"/>
                <w:lang w:val="en-GB"/>
              </w:rPr>
              <w:t>"</w:t>
            </w:r>
            <w:r>
              <w:rPr>
                <w:rFonts w:hint="eastAsia" w:ascii="New York" w:hAnsi="New York"/>
                <w:i/>
                <w:iCs/>
              </w:rPr>
              <w:t>semi</w:t>
            </w:r>
            <w:r>
              <w:rPr>
                <w:rFonts w:hint="eastAsia" w:ascii="New York" w:hAnsi="New York"/>
                <w:i/>
                <w:iCs/>
                <w:lang w:val="en-GB"/>
              </w:rPr>
              <w:t>S</w:t>
            </w:r>
            <w:r>
              <w:rPr>
                <w:rFonts w:hint="eastAsia" w:ascii="New York" w:hAnsi="New York"/>
                <w:i/>
                <w:iCs/>
              </w:rPr>
              <w:t>tatic</w:t>
            </w:r>
            <w:r>
              <w:rPr>
                <w:rFonts w:hint="eastAsia" w:ascii="New York" w:hAnsi="New York"/>
                <w:lang w:val="en-GB"/>
              </w:rPr>
              <w:t>"</w:t>
            </w:r>
            <w:r>
              <w:rPr>
                <w:rFonts w:hint="eastAsia" w:ascii="New York" w:hAnsi="New York"/>
              </w:rPr>
              <w:t xml:space="preserve"> is provided, does not overlap with a set of consecutive symbols before the start of a next channel occupancy time where the UE does not transmit [15, TS 37.213].</w:t>
            </w:r>
          </w:p>
          <w:p>
            <w:pPr>
              <w:spacing w:before="120" w:line="280" w:lineRule="atLeast"/>
              <w:ind w:left="568" w:hanging="284"/>
              <w:rPr>
                <w:rFonts w:ascii="New York" w:hAnsi="New York"/>
              </w:rPr>
            </w:pPr>
            <w:r>
              <w:rPr>
                <w:rFonts w:hint="eastAsia" w:ascii="New York" w:hAnsi="New York"/>
              </w:rPr>
              <w:t>-</w:t>
            </w:r>
            <w:r>
              <w:rPr>
                <w:rFonts w:hint="eastAsia" w:ascii="New York" w:hAnsi="New York"/>
              </w:rPr>
              <w:tab/>
            </w:r>
            <w:r>
              <w:rPr>
                <w:rFonts w:hint="eastAsia" w:ascii="New York" w:hAnsi="New York"/>
                <w:lang w:eastAsia="zh-CN"/>
              </w:rPr>
              <w:t xml:space="preserve">if a UE is provided </w:t>
            </w:r>
            <w:r>
              <w:rPr>
                <w:rFonts w:hint="eastAsia" w:ascii="New York" w:hAnsi="New York"/>
                <w:i/>
              </w:rPr>
              <w:t>tdd-UL-DL-ConfigurationCommon</w:t>
            </w:r>
            <w:r>
              <w:rPr>
                <w:rFonts w:hint="eastAsia" w:ascii="New York" w:hAnsi="New York"/>
              </w:rPr>
              <w:t>, a PUSCH occasion is valid if the PUSCH occasion</w:t>
            </w:r>
          </w:p>
          <w:p>
            <w:pPr>
              <w:spacing w:before="120" w:line="280" w:lineRule="atLeast"/>
              <w:ind w:left="851" w:hanging="284"/>
              <w:rPr>
                <w:rFonts w:ascii="New York" w:hAnsi="New York"/>
              </w:rPr>
            </w:pPr>
            <w:r>
              <w:rPr>
                <w:rFonts w:hint="eastAsia" w:ascii="New York" w:hAnsi="New York"/>
              </w:rPr>
              <w:t>-</w:t>
            </w:r>
            <w:r>
              <w:rPr>
                <w:rFonts w:hint="eastAsia" w:ascii="New York" w:hAnsi="New York"/>
              </w:rPr>
              <w:tab/>
            </w:r>
            <w:r>
              <w:rPr>
                <w:rFonts w:hint="eastAsia" w:ascii="New York" w:hAnsi="New York"/>
              </w:rPr>
              <w:t xml:space="preserve">is within UL symbols, or </w:t>
            </w:r>
          </w:p>
          <w:p>
            <w:pPr>
              <w:spacing w:before="120" w:line="280" w:lineRule="atLeast"/>
              <w:ind w:left="851" w:hanging="284"/>
              <w:rPr>
                <w:rFonts w:ascii="New York" w:hAnsi="New York"/>
              </w:rPr>
            </w:pPr>
            <w:r>
              <w:rPr>
                <w:rFonts w:hint="eastAsia" w:ascii="New York" w:hAnsi="New York"/>
              </w:rPr>
              <w:t>-</w:t>
            </w:r>
            <w:r>
              <w:rPr>
                <w:rFonts w:hint="eastAsia" w:ascii="New York" w:hAnsi="New York"/>
              </w:rPr>
              <w:tab/>
            </w:r>
            <w:r>
              <w:rPr>
                <w:rFonts w:hint="eastAsia" w:ascii="New York" w:hAnsi="New York"/>
              </w:rPr>
              <w:t xml:space="preserve">does not precede a SS/PBCH block in the PUSCH slot, and </w:t>
            </w:r>
          </w:p>
          <w:p>
            <w:pPr>
              <w:spacing w:before="120" w:line="280" w:lineRule="atLeast"/>
              <w:ind w:left="851" w:hanging="284"/>
              <w:rPr>
                <w:rFonts w:ascii="New York" w:hAnsi="New York"/>
              </w:rPr>
            </w:pPr>
            <w:r>
              <w:rPr>
                <w:rFonts w:hint="eastAsia" w:ascii="New York" w:hAnsi="New York"/>
              </w:rPr>
              <w:t>-</w:t>
            </w:r>
            <w:r>
              <w:rPr>
                <w:rFonts w:hint="eastAsia" w:ascii="New York" w:hAnsi="New York"/>
              </w:rPr>
              <w:tab/>
            </w:r>
            <w:r>
              <w:rPr>
                <w:rFonts w:hint="eastAsia" w:ascii="New York" w:hAnsi="New York"/>
              </w:rPr>
              <w:t xml:space="preserve">starts at least </w:t>
            </w:r>
            <m:oMath>
              <m:sSub>
                <m:sSubPr>
                  <m:ctrlPr>
                    <w:rPr>
                      <w:rFonts w:hint="eastAsia" w:ascii="Cambria Math" w:hAnsi="Cambria Math"/>
                      <w:i/>
                    </w:rPr>
                  </m:ctrlPr>
                </m:sSubPr>
                <m:e>
                  <m:r>
                    <w:rPr>
                      <w:rFonts w:hint="eastAsia" w:ascii="Cambria Math" w:hAnsi="Cambria Math"/>
                    </w:rPr>
                    <m:t>N</m:t>
                  </m:r>
                  <m:ctrlPr>
                    <w:rPr>
                      <w:rFonts w:hint="eastAsia" w:ascii="Cambria Math" w:hAnsi="Cambria Math"/>
                      <w:i/>
                    </w:rPr>
                  </m:ctrlPr>
                </m:e>
                <m:sub>
                  <m:r>
                    <m:rPr>
                      <m:nor/>
                      <m:sty m:val="p"/>
                    </m:rPr>
                    <w:rPr>
                      <w:rFonts w:hint="eastAsia" w:ascii="New York" w:hAnsi="New York"/>
                      <w:b w:val="0"/>
                      <w:i w:val="0"/>
                    </w:rPr>
                    <m:t>gap</m:t>
                  </m:r>
                  <m:ctrlPr>
                    <w:rPr>
                      <w:rFonts w:hint="eastAsia" w:ascii="Cambria Math" w:hAnsi="Cambria Math"/>
                    </w:rPr>
                  </m:ctrlPr>
                </m:sub>
              </m:sSub>
            </m:oMath>
            <w:r>
              <w:rPr>
                <w:rFonts w:hint="eastAsia" w:ascii="New York" w:hAnsi="New York"/>
              </w:rPr>
              <w:t xml:space="preserve"> symbols after a last downlink symbol and at least </w:t>
            </w:r>
            <m:oMath>
              <m:sSub>
                <m:sSubPr>
                  <m:ctrlPr>
                    <w:rPr>
                      <w:rFonts w:hint="eastAsia" w:ascii="Cambria Math" w:hAnsi="Cambria Math"/>
                      <w:i/>
                    </w:rPr>
                  </m:ctrlPr>
                </m:sSubPr>
                <m:e>
                  <m:r>
                    <w:rPr>
                      <w:rFonts w:hint="eastAsia" w:ascii="Cambria Math" w:hAnsi="Cambria Math"/>
                    </w:rPr>
                    <m:t>N</m:t>
                  </m:r>
                  <m:ctrlPr>
                    <w:rPr>
                      <w:rFonts w:hint="eastAsia" w:ascii="Cambria Math" w:hAnsi="Cambria Math"/>
                      <w:i/>
                    </w:rPr>
                  </m:ctrlPr>
                </m:e>
                <m:sub>
                  <m:r>
                    <m:rPr>
                      <m:nor/>
                      <m:sty m:val="p"/>
                    </m:rPr>
                    <w:rPr>
                      <w:rFonts w:hint="eastAsia" w:ascii="New York" w:hAnsi="New York"/>
                      <w:b w:val="0"/>
                      <w:i w:val="0"/>
                    </w:rPr>
                    <m:t>gap</m:t>
                  </m:r>
                  <m:ctrlPr>
                    <w:rPr>
                      <w:rFonts w:hint="eastAsia" w:ascii="Cambria Math" w:hAnsi="Cambria Math"/>
                    </w:rPr>
                  </m:ctrlPr>
                </m:sub>
              </m:sSub>
            </m:oMath>
            <w:r>
              <w:rPr>
                <w:rFonts w:hint="eastAsia" w:ascii="New York" w:hAnsi="New York"/>
              </w:rPr>
              <w:t xml:space="preserve"> symbols after a last SS/PBCH block symbol, where </w:t>
            </w:r>
            <m:oMath>
              <m:sSub>
                <m:sSubPr>
                  <m:ctrlPr>
                    <w:rPr>
                      <w:rFonts w:hint="eastAsia" w:ascii="Cambria Math" w:hAnsi="Cambria Math"/>
                      <w:i/>
                    </w:rPr>
                  </m:ctrlPr>
                </m:sSubPr>
                <m:e>
                  <m:r>
                    <w:rPr>
                      <w:rFonts w:hint="eastAsia" w:ascii="Cambria Math" w:hAnsi="Cambria Math"/>
                    </w:rPr>
                    <m:t>N</m:t>
                  </m:r>
                  <m:ctrlPr>
                    <w:rPr>
                      <w:rFonts w:hint="eastAsia" w:ascii="Cambria Math" w:hAnsi="Cambria Math"/>
                      <w:i/>
                    </w:rPr>
                  </m:ctrlPr>
                </m:e>
                <m:sub>
                  <m:r>
                    <m:rPr>
                      <m:nor/>
                      <m:sty m:val="p"/>
                    </m:rPr>
                    <w:rPr>
                      <w:rFonts w:hint="eastAsia" w:ascii="New York" w:hAnsi="New York"/>
                      <w:b w:val="0"/>
                      <w:i w:val="0"/>
                    </w:rPr>
                    <m:t>gap</m:t>
                  </m:r>
                  <m:ctrlPr>
                    <w:rPr>
                      <w:rFonts w:hint="eastAsia" w:ascii="Cambria Math" w:hAnsi="Cambria Math"/>
                    </w:rPr>
                  </m:ctrlPr>
                </m:sub>
              </m:sSub>
            </m:oMath>
            <w:r>
              <w:rPr>
                <w:rFonts w:hint="eastAsia" w:ascii="New York" w:hAnsi="New York"/>
              </w:rPr>
              <w:t xml:space="preserve"> is provided in Table 8.1-2 and, if </w:t>
            </w:r>
            <w:r>
              <w:rPr>
                <w:rFonts w:hint="eastAsia" w:ascii="New York" w:hAnsi="New York"/>
                <w:i/>
                <w:iCs/>
              </w:rPr>
              <w:t>channelAccess</w:t>
            </w:r>
            <w:r>
              <w:rPr>
                <w:rFonts w:hint="eastAsia" w:ascii="New York" w:hAnsi="New York"/>
                <w:i/>
                <w:iCs/>
                <w:lang w:eastAsia="zh-CN"/>
              </w:rPr>
              <w:t>Mode</w:t>
            </w:r>
            <w:r>
              <w:rPr>
                <w:rFonts w:hint="eastAsia" w:ascii="New York" w:hAnsi="New York"/>
              </w:rPr>
              <w:t xml:space="preserve"> = </w:t>
            </w:r>
            <w:r>
              <w:rPr>
                <w:rFonts w:hint="eastAsia" w:ascii="New York" w:hAnsi="New York"/>
                <w:lang w:val="en-GB"/>
              </w:rPr>
              <w:t>"</w:t>
            </w:r>
            <w:r>
              <w:rPr>
                <w:rFonts w:hint="eastAsia" w:ascii="New York" w:hAnsi="New York"/>
                <w:i/>
                <w:iCs/>
              </w:rPr>
              <w:t>semi</w:t>
            </w:r>
            <w:r>
              <w:rPr>
                <w:rFonts w:hint="eastAsia" w:ascii="New York" w:hAnsi="New York"/>
                <w:i/>
                <w:iCs/>
                <w:lang w:val="en-GB"/>
              </w:rPr>
              <w:t>S</w:t>
            </w:r>
            <w:r>
              <w:rPr>
                <w:rFonts w:hint="eastAsia" w:ascii="New York" w:hAnsi="New York"/>
                <w:i/>
                <w:iCs/>
              </w:rPr>
              <w:t>tatic</w:t>
            </w:r>
            <w:r>
              <w:rPr>
                <w:rFonts w:hint="eastAsia" w:ascii="New York" w:hAnsi="New York"/>
                <w:lang w:val="en-GB"/>
              </w:rPr>
              <w:t>"</w:t>
            </w:r>
            <w:r>
              <w:rPr>
                <w:rFonts w:hint="eastAsia" w:ascii="New York" w:hAnsi="New York"/>
              </w:rPr>
              <w:t xml:space="preserve"> is provided, does not overlap with a set of consecutive symbols before the start of a next channel occupancy time where the UE does not transmit [15, TS 37.213].</w:t>
            </w:r>
          </w:p>
          <w:p>
            <w:pPr>
              <w:spacing w:before="120" w:line="280" w:lineRule="atLeast"/>
              <w:rPr>
                <w:rFonts w:ascii="New York" w:hAnsi="New York"/>
                <w:lang w:eastAsia="zh-CN"/>
              </w:rPr>
            </w:pPr>
          </w:p>
        </w:tc>
      </w:tr>
    </w:tbl>
    <w:p>
      <w:pPr>
        <w:rPr>
          <w:lang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rPr>
            </w:pPr>
            <w:r>
              <w:rPr>
                <w:rFonts w:hint="eastAsia" w:ascii="New York" w:hAnsi="New York"/>
                <w:lang w:eastAsia="zh-CN"/>
              </w:rPr>
              <w:t>TS38.213 clause 9.2.6</w:t>
            </w:r>
          </w:p>
          <w:p>
            <w:pPr>
              <w:spacing w:before="120" w:line="280" w:lineRule="atLeast"/>
              <w:rPr>
                <w:rFonts w:ascii="New York" w:hAnsi="New York"/>
                <w:lang w:eastAsia="zh-CN"/>
              </w:rPr>
            </w:pPr>
            <w:r>
              <w:rPr>
                <w:rFonts w:hint="eastAsia" w:ascii="New York" w:hAnsi="New York"/>
              </w:rPr>
              <w:t xml:space="preserve">A SS/PBCH block symbol is a symbol of an SS/PBCH block with </w:t>
            </w:r>
            <w:r>
              <w:rPr>
                <w:rFonts w:hint="eastAsia" w:ascii="New York" w:hAnsi="New York" w:eastAsia="等线"/>
              </w:rPr>
              <w:t xml:space="preserve">candidate SS/PBCH block index corresponding to the SS/PBCH block </w:t>
            </w:r>
            <w:r>
              <w:rPr>
                <w:rFonts w:hint="eastAsia" w:ascii="New York" w:hAnsi="New York"/>
              </w:rPr>
              <w:t xml:space="preserve">index indicated to a UE by </w:t>
            </w:r>
            <w:r>
              <w:rPr>
                <w:rFonts w:hint="eastAsia" w:ascii="New York" w:hAnsi="New York"/>
                <w:i/>
                <w:highlight w:val="yellow"/>
              </w:rPr>
              <w:t>ssb-PositionsInBurst</w:t>
            </w:r>
            <w:r>
              <w:rPr>
                <w:rFonts w:hint="eastAsia" w:ascii="New York" w:hAnsi="New York"/>
                <w:highlight w:val="yellow"/>
              </w:rPr>
              <w:t xml:space="preserve"> in </w:t>
            </w:r>
            <w:r>
              <w:rPr>
                <w:rFonts w:hint="eastAsia" w:ascii="New York" w:hAnsi="New York"/>
                <w:i/>
                <w:highlight w:val="yellow"/>
              </w:rPr>
              <w:t>SIB1</w:t>
            </w:r>
            <w:r>
              <w:rPr>
                <w:rFonts w:hint="eastAsia" w:ascii="New York" w:hAnsi="New York"/>
                <w:highlight w:val="yellow"/>
              </w:rPr>
              <w:t xml:space="preserve"> or </w:t>
            </w:r>
            <w:r>
              <w:rPr>
                <w:rFonts w:hint="eastAsia" w:ascii="New York" w:hAnsi="New York"/>
                <w:i/>
                <w:highlight w:val="yellow"/>
              </w:rPr>
              <w:t>ssb-PositionsInBurst</w:t>
            </w:r>
            <w:r>
              <w:rPr>
                <w:rFonts w:hint="eastAsia" w:ascii="New York" w:hAnsi="New York"/>
                <w:highlight w:val="yellow"/>
              </w:rPr>
              <w:t xml:space="preserve"> in </w:t>
            </w:r>
            <w:r>
              <w:rPr>
                <w:rFonts w:hint="eastAsia" w:ascii="New York" w:hAnsi="New York"/>
                <w:i/>
                <w:highlight w:val="yellow"/>
              </w:rPr>
              <w:t>ServingCellConfigCommon</w:t>
            </w:r>
            <w:r>
              <w:rPr>
                <w:rFonts w:hint="eastAsia" w:ascii="New York" w:hAnsi="New York"/>
                <w:iCs/>
              </w:rPr>
              <w:t xml:space="preserve"> </w:t>
            </w:r>
            <w:r>
              <w:rPr>
                <w:rFonts w:hint="eastAsia" w:ascii="New York" w:hAnsi="New York"/>
              </w:rPr>
              <w:t xml:space="preserve">or, if the UE is not provided </w:t>
            </w:r>
            <w:r>
              <w:rPr>
                <w:rFonts w:hint="eastAsia" w:ascii="New York" w:hAnsi="New York" w:cs="Times"/>
                <w:i/>
                <w:iCs/>
                <w:szCs w:val="18"/>
                <w:lang w:eastAsia="zh-CN"/>
              </w:rPr>
              <w:t>DLorJoint-TCIState</w:t>
            </w:r>
            <w:r>
              <w:rPr>
                <w:rFonts w:hint="eastAsia" w:ascii="New York" w:hAnsi="New York" w:cs="Times"/>
                <w:iCs/>
                <w:szCs w:val="18"/>
                <w:lang w:eastAsia="zh-CN"/>
              </w:rPr>
              <w:t xml:space="preserve"> or</w:t>
            </w:r>
            <w:r>
              <w:rPr>
                <w:rFonts w:hint="eastAsia" w:ascii="New York" w:hAnsi="New York"/>
              </w:rPr>
              <w:t xml:space="preserve"> </w:t>
            </w:r>
            <w:r>
              <w:rPr>
                <w:rFonts w:hint="eastAsia" w:ascii="New York" w:hAnsi="New York"/>
                <w:i/>
                <w:iCs/>
              </w:rPr>
              <w:t>followUnifiedTCIstate</w:t>
            </w:r>
            <w:r>
              <w:rPr>
                <w:rFonts w:hint="eastAsia" w:ascii="New York" w:hAnsi="New York"/>
              </w:rPr>
              <w:t xml:space="preserve">, by </w:t>
            </w:r>
            <w:r>
              <w:rPr>
                <w:rFonts w:hint="eastAsia" w:ascii="New York" w:hAnsi="New York"/>
                <w:i/>
              </w:rPr>
              <w:t>ssb-PositionsInBurst</w:t>
            </w:r>
            <w:r>
              <w:rPr>
                <w:rFonts w:hint="eastAsia" w:ascii="New York" w:hAnsi="New York"/>
              </w:rPr>
              <w:t xml:space="preserve"> in </w:t>
            </w:r>
            <w:r>
              <w:rPr>
                <w:rFonts w:hint="eastAsia" w:ascii="New York" w:hAnsi="New York"/>
                <w:i/>
                <w:iCs/>
              </w:rPr>
              <w:t>SSB-MTCAdditionalPCI</w:t>
            </w:r>
            <w:r>
              <w:rPr>
                <w:rFonts w:hint="eastAsia" w:ascii="New York" w:hAnsi="New York"/>
              </w:rPr>
              <w:t xml:space="preserve"> associated to physical cell ID with active TCI states.</w:t>
            </w:r>
          </w:p>
        </w:tc>
      </w:tr>
    </w:tbl>
    <w:p>
      <w:pPr>
        <w:tabs>
          <w:tab w:val="left" w:pos="1170"/>
        </w:tabs>
        <w:rPr>
          <w:lang w:eastAsia="zh-CN"/>
        </w:rPr>
      </w:pPr>
      <w:r>
        <w:rPr>
          <w:rFonts w:hint="eastAsia"/>
          <w:lang w:eastAsia="zh-CN"/>
        </w:rPr>
        <w:tab/>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lang w:eastAsia="zh-CN"/>
              </w:rPr>
            </w:pPr>
            <w:r>
              <w:rPr>
                <w:rFonts w:hint="eastAsia" w:ascii="New York" w:hAnsi="New York"/>
                <w:lang w:eastAsia="zh-CN"/>
              </w:rPr>
              <w:t>TS38.213 clause 10</w:t>
            </w:r>
          </w:p>
          <w:p>
            <w:pPr>
              <w:overflowPunct/>
              <w:autoSpaceDE/>
              <w:autoSpaceDN/>
              <w:adjustRightInd/>
              <w:spacing w:before="120" w:line="280" w:lineRule="atLeast"/>
              <w:textAlignment w:val="auto"/>
              <w:rPr>
                <w:rFonts w:ascii="New York" w:hAnsi="New York"/>
                <w:lang w:val="en-GB"/>
              </w:rPr>
            </w:pPr>
            <w:r>
              <w:rPr>
                <w:rFonts w:hint="eastAsia" w:ascii="New York" w:hAnsi="New York"/>
                <w:lang w:val="en-GB"/>
              </w:rPr>
              <w:t>For monitoring of a PDCCH candidate by a UE, if the UE</w:t>
            </w:r>
          </w:p>
          <w:p>
            <w:pPr>
              <w:spacing w:before="120" w:line="280" w:lineRule="atLeast"/>
              <w:ind w:left="568" w:hanging="284"/>
              <w:rPr>
                <w:rFonts w:ascii="New York" w:hAnsi="New York"/>
              </w:rPr>
            </w:pPr>
            <w:r>
              <w:rPr>
                <w:rFonts w:hint="eastAsia" w:ascii="New York" w:hAnsi="New York"/>
              </w:rPr>
              <w:t>-</w:t>
            </w:r>
            <w:r>
              <w:rPr>
                <w:rFonts w:hint="eastAsia" w:ascii="New York" w:hAnsi="New York"/>
              </w:rPr>
              <w:tab/>
            </w:r>
            <w:r>
              <w:rPr>
                <w:rFonts w:hint="eastAsia" w:ascii="New York" w:hAnsi="New York"/>
              </w:rPr>
              <w:t xml:space="preserve">has received </w:t>
            </w:r>
            <w:r>
              <w:rPr>
                <w:rFonts w:hint="eastAsia" w:ascii="New York" w:hAnsi="New York"/>
                <w:i/>
                <w:highlight w:val="yellow"/>
              </w:rPr>
              <w:t>ssb-PositionsInBurst</w:t>
            </w:r>
            <w:r>
              <w:rPr>
                <w:rFonts w:hint="eastAsia" w:ascii="New York" w:hAnsi="New York"/>
                <w:highlight w:val="yellow"/>
              </w:rPr>
              <w:t xml:space="preserve"> in </w:t>
            </w:r>
            <w:r>
              <w:rPr>
                <w:rFonts w:hint="eastAsia" w:ascii="New York" w:hAnsi="New York"/>
                <w:i/>
                <w:highlight w:val="yellow"/>
              </w:rPr>
              <w:t>SIB1</w:t>
            </w:r>
            <w:r>
              <w:rPr>
                <w:rFonts w:hint="eastAsia" w:ascii="New York" w:hAnsi="New York"/>
                <w:lang w:val="en-GB"/>
              </w:rPr>
              <w:t xml:space="preserve"> </w:t>
            </w:r>
            <w:r>
              <w:rPr>
                <w:rFonts w:hint="eastAsia" w:ascii="New York" w:hAnsi="New York"/>
              </w:rPr>
              <w:t xml:space="preserve">and has not received </w:t>
            </w:r>
            <w:bookmarkStart w:id="4" w:name="_Hlk493885951"/>
            <w:r>
              <w:rPr>
                <w:rFonts w:hint="eastAsia" w:ascii="New York" w:hAnsi="New York"/>
                <w:i/>
              </w:rPr>
              <w:t>ssb-PositionsInBurst</w:t>
            </w:r>
            <w:bookmarkEnd w:id="4"/>
            <w:r>
              <w:rPr>
                <w:rFonts w:hint="eastAsia" w:ascii="New York" w:hAnsi="New York"/>
              </w:rPr>
              <w:t xml:space="preserve"> in </w:t>
            </w:r>
            <w:r>
              <w:rPr>
                <w:rFonts w:hint="eastAsia" w:ascii="New York" w:hAnsi="New York"/>
                <w:i/>
              </w:rPr>
              <w:t>ServingCellConfigCommon</w:t>
            </w:r>
            <w:r>
              <w:rPr>
                <w:rFonts w:hint="eastAsia" w:ascii="New York" w:hAnsi="New York"/>
              </w:rPr>
              <w:t xml:space="preserve"> for a serving cell, and</w:t>
            </w:r>
          </w:p>
          <w:p>
            <w:pPr>
              <w:spacing w:before="120" w:line="280" w:lineRule="atLeast"/>
              <w:ind w:left="568" w:hanging="284"/>
              <w:rPr>
                <w:rFonts w:ascii="New York" w:hAnsi="New York"/>
                <w:lang w:eastAsia="zh-CN"/>
              </w:rPr>
            </w:pPr>
            <w:r>
              <w:rPr>
                <w:rFonts w:hint="eastAsia" w:ascii="New York" w:hAnsi="New York"/>
              </w:rPr>
              <w:t>-</w:t>
            </w:r>
            <w:r>
              <w:rPr>
                <w:rFonts w:hint="eastAsia" w:ascii="New York" w:hAnsi="New York"/>
              </w:rPr>
              <w:tab/>
            </w:r>
            <w:r>
              <w:rPr>
                <w:rFonts w:hint="eastAsia" w:ascii="New York" w:hAnsi="New York"/>
                <w:lang w:eastAsia="zh-CN"/>
              </w:rPr>
              <w:t xml:space="preserve">does not monitor PDCCH candidates in a Type0-PDCCH CSS set, and </w:t>
            </w:r>
          </w:p>
          <w:p>
            <w:pPr>
              <w:spacing w:before="120" w:line="280" w:lineRule="atLeast"/>
              <w:ind w:left="568" w:hanging="284"/>
              <w:rPr>
                <w:rFonts w:ascii="New York" w:hAnsi="New York"/>
                <w:lang w:eastAsia="zh-CN"/>
              </w:rPr>
            </w:pPr>
            <w:r>
              <w:rPr>
                <w:rFonts w:hint="eastAsia" w:ascii="New York" w:hAnsi="New York"/>
              </w:rPr>
              <w:t>-</w:t>
            </w:r>
            <w:r>
              <w:rPr>
                <w:rFonts w:hint="eastAsia" w:ascii="New York" w:hAnsi="New York"/>
              </w:rPr>
              <w:tab/>
            </w:r>
            <w:r>
              <w:rPr>
                <w:rFonts w:hint="eastAsia" w:ascii="New York" w:hAnsi="New York"/>
                <w:lang w:eastAsia="zh-CN"/>
              </w:rPr>
              <w:t xml:space="preserve">at least one RE for a PDCCH candidate overlaps with at least one RE of a candidate SS/PBCH block corresponding to a SS/PBCH block index provided by </w:t>
            </w:r>
            <w:r>
              <w:rPr>
                <w:rFonts w:hint="eastAsia" w:ascii="New York" w:hAnsi="New York"/>
                <w:i/>
              </w:rPr>
              <w:t>ssb-PositionsInBurst</w:t>
            </w:r>
            <w:r>
              <w:rPr>
                <w:rFonts w:hint="eastAsia" w:ascii="New York" w:hAnsi="New York"/>
              </w:rPr>
              <w:t xml:space="preserve"> in </w:t>
            </w:r>
            <w:r>
              <w:rPr>
                <w:rFonts w:hint="eastAsia" w:ascii="New York" w:hAnsi="New York"/>
                <w:i/>
              </w:rPr>
              <w:t>SIB1</w:t>
            </w:r>
            <w:r>
              <w:rPr>
                <w:rFonts w:hint="eastAsia" w:ascii="New York" w:hAnsi="New York"/>
                <w:lang w:eastAsia="zh-CN"/>
              </w:rPr>
              <w:t xml:space="preserve">, </w:t>
            </w:r>
          </w:p>
          <w:p>
            <w:pPr>
              <w:overflowPunct/>
              <w:autoSpaceDE/>
              <w:autoSpaceDN/>
              <w:adjustRightInd/>
              <w:spacing w:before="120" w:line="280" w:lineRule="atLeast"/>
              <w:jc w:val="left"/>
              <w:textAlignment w:val="auto"/>
              <w:rPr>
                <w:rFonts w:ascii="New York" w:hAnsi="New York"/>
                <w:lang w:val="en-GB" w:eastAsia="zh-CN"/>
              </w:rPr>
            </w:pPr>
            <w:r>
              <w:rPr>
                <w:rFonts w:hint="eastAsia" w:ascii="New York" w:hAnsi="New York"/>
                <w:lang w:val="en-GB" w:eastAsia="zh-CN"/>
              </w:rPr>
              <w:t>the UE is not required to monitor the PDCCH candidate.</w:t>
            </w:r>
          </w:p>
          <w:p>
            <w:pPr>
              <w:overflowPunct/>
              <w:autoSpaceDE/>
              <w:autoSpaceDN/>
              <w:adjustRightInd/>
              <w:spacing w:before="120" w:line="280" w:lineRule="atLeast"/>
              <w:textAlignment w:val="auto"/>
              <w:rPr>
                <w:rFonts w:ascii="New York" w:hAnsi="New York"/>
                <w:lang w:val="en-GB"/>
              </w:rPr>
            </w:pPr>
            <w:r>
              <w:rPr>
                <w:rFonts w:hint="eastAsia" w:ascii="New York" w:hAnsi="New York"/>
                <w:lang w:val="en-GB"/>
              </w:rPr>
              <w:t>For monitoring of a PDCCH candidate by a UE, if the UE</w:t>
            </w:r>
          </w:p>
          <w:p>
            <w:pPr>
              <w:spacing w:before="120" w:line="280" w:lineRule="atLeast"/>
              <w:ind w:left="568" w:hanging="284"/>
              <w:rPr>
                <w:rFonts w:ascii="New York" w:hAnsi="New York"/>
              </w:rPr>
            </w:pPr>
            <w:r>
              <w:rPr>
                <w:rFonts w:hint="eastAsia" w:ascii="New York" w:hAnsi="New York"/>
              </w:rPr>
              <w:t>-</w:t>
            </w:r>
            <w:r>
              <w:rPr>
                <w:rFonts w:hint="eastAsia" w:ascii="New York" w:hAnsi="New York"/>
              </w:rPr>
              <w:tab/>
            </w:r>
            <w:r>
              <w:rPr>
                <w:rFonts w:hint="eastAsia" w:ascii="New York" w:hAnsi="New York"/>
              </w:rPr>
              <w:t xml:space="preserve">has received </w:t>
            </w:r>
            <w:r>
              <w:rPr>
                <w:rFonts w:hint="eastAsia" w:ascii="New York" w:hAnsi="New York"/>
                <w:i/>
              </w:rPr>
              <w:t>ssb-PositionsInBurst</w:t>
            </w:r>
            <w:r>
              <w:rPr>
                <w:rFonts w:hint="eastAsia" w:ascii="New York" w:hAnsi="New York"/>
              </w:rPr>
              <w:t xml:space="preserve"> in </w:t>
            </w:r>
            <w:r>
              <w:rPr>
                <w:rFonts w:hint="eastAsia" w:ascii="New York" w:hAnsi="New York"/>
                <w:i/>
              </w:rPr>
              <w:t>ServingCellConfigCommon</w:t>
            </w:r>
            <w:r>
              <w:rPr>
                <w:rFonts w:hint="eastAsia" w:ascii="New York" w:hAnsi="New York"/>
              </w:rPr>
              <w:t xml:space="preserve"> for a serving cell, and</w:t>
            </w:r>
          </w:p>
          <w:p>
            <w:pPr>
              <w:spacing w:before="120" w:line="280" w:lineRule="atLeast"/>
              <w:ind w:left="568" w:hanging="284"/>
              <w:rPr>
                <w:rFonts w:ascii="New York" w:hAnsi="New York"/>
                <w:lang w:eastAsia="zh-CN"/>
              </w:rPr>
            </w:pPr>
            <w:r>
              <w:rPr>
                <w:rFonts w:hint="eastAsia" w:ascii="New York" w:hAnsi="New York"/>
              </w:rPr>
              <w:t>-</w:t>
            </w:r>
            <w:r>
              <w:rPr>
                <w:rFonts w:hint="eastAsia" w:ascii="New York" w:hAnsi="New York"/>
              </w:rPr>
              <w:tab/>
            </w:r>
            <w:r>
              <w:rPr>
                <w:rFonts w:hint="eastAsia" w:ascii="New York" w:hAnsi="New York"/>
                <w:lang w:eastAsia="zh-CN"/>
              </w:rPr>
              <w:t xml:space="preserve">does not monitor PDCCH candidates in a Type0-PDCCH CSS set, and </w:t>
            </w:r>
          </w:p>
          <w:p>
            <w:pPr>
              <w:spacing w:before="120" w:line="280" w:lineRule="atLeast"/>
              <w:ind w:left="568" w:hanging="284"/>
              <w:rPr>
                <w:rFonts w:ascii="New York" w:hAnsi="New York"/>
                <w:lang w:eastAsia="zh-CN"/>
              </w:rPr>
            </w:pPr>
            <w:r>
              <w:rPr>
                <w:rFonts w:hint="eastAsia" w:ascii="New York" w:hAnsi="New York"/>
              </w:rPr>
              <w:t>-</w:t>
            </w:r>
            <w:r>
              <w:rPr>
                <w:rFonts w:hint="eastAsia" w:ascii="New York" w:hAnsi="New York"/>
              </w:rPr>
              <w:tab/>
            </w:r>
            <w:r>
              <w:rPr>
                <w:rFonts w:hint="eastAsia" w:ascii="New York" w:hAnsi="New York"/>
                <w:lang w:eastAsia="zh-CN"/>
              </w:rPr>
              <w:t xml:space="preserve">at least one RE for a PDCCH candidate overlaps with at least one RE of a candidate SS/PBCH block corresponding to a SS/PBCH block index provided by </w:t>
            </w:r>
            <w:r>
              <w:rPr>
                <w:rFonts w:hint="eastAsia" w:ascii="New York" w:hAnsi="New York"/>
                <w:i/>
              </w:rPr>
              <w:t>ssb-PositionsInBurst</w:t>
            </w:r>
            <w:r>
              <w:rPr>
                <w:rFonts w:hint="eastAsia" w:ascii="New York" w:hAnsi="New York"/>
                <w:iCs/>
              </w:rPr>
              <w:t xml:space="preserve"> </w:t>
            </w:r>
            <w:r>
              <w:rPr>
                <w:rFonts w:hint="eastAsia" w:ascii="New York" w:hAnsi="New York"/>
              </w:rPr>
              <w:t xml:space="preserve">in </w:t>
            </w:r>
            <w:r>
              <w:rPr>
                <w:rFonts w:hint="eastAsia" w:ascii="New York" w:hAnsi="New York"/>
                <w:i/>
              </w:rPr>
              <w:t>ServingCellConfigCommon</w:t>
            </w:r>
            <w:r>
              <w:rPr>
                <w:rFonts w:hint="eastAsia" w:ascii="New York" w:hAnsi="New York"/>
                <w:lang w:eastAsia="zh-CN"/>
              </w:rPr>
              <w:t xml:space="preserve">, </w:t>
            </w:r>
          </w:p>
          <w:p>
            <w:pPr>
              <w:overflowPunct/>
              <w:autoSpaceDE/>
              <w:autoSpaceDN/>
              <w:adjustRightInd/>
              <w:spacing w:before="120" w:line="280" w:lineRule="atLeast"/>
              <w:jc w:val="left"/>
              <w:textAlignment w:val="auto"/>
              <w:rPr>
                <w:rFonts w:ascii="New York" w:hAnsi="New York"/>
                <w:lang w:eastAsia="zh-CN"/>
              </w:rPr>
            </w:pPr>
            <w:r>
              <w:rPr>
                <w:rFonts w:hint="eastAsia" w:ascii="New York" w:hAnsi="New York"/>
                <w:lang w:val="en-GB" w:eastAsia="zh-CN"/>
              </w:rPr>
              <w:t>the UE is not required to monitor the PDCCH candidate.</w:t>
            </w:r>
          </w:p>
          <w:p>
            <w:pPr>
              <w:tabs>
                <w:tab w:val="left" w:pos="1170"/>
              </w:tabs>
              <w:spacing w:before="120" w:line="280" w:lineRule="atLeast"/>
              <w:rPr>
                <w:rFonts w:ascii="New York" w:hAnsi="New York"/>
                <w:lang w:eastAsia="zh-CN"/>
              </w:rPr>
            </w:pPr>
          </w:p>
        </w:tc>
      </w:tr>
    </w:tbl>
    <w:p>
      <w:pPr>
        <w:tabs>
          <w:tab w:val="left" w:pos="1170"/>
        </w:tabs>
        <w:rPr>
          <w:lang w:eastAsia="zh-CN"/>
        </w:rPr>
      </w:pPr>
      <w:r>
        <w:rPr>
          <w:rFonts w:hint="eastAsia"/>
          <w:lang w:eastAsia="zh-CN"/>
        </w:rPr>
        <w:t xml:space="preserve">For clause 10, from our perspective, besides SIB1, </w:t>
      </w:r>
      <w:r>
        <w:rPr>
          <w:rFonts w:hint="eastAsia"/>
          <w:i/>
        </w:rPr>
        <w:t>ssb-PositionsInBurst</w:t>
      </w:r>
      <w:r>
        <w:rPr>
          <w:rFonts w:hint="eastAsia"/>
          <w:i/>
          <w:lang w:eastAsia="zh-CN"/>
        </w:rPr>
        <w:t xml:space="preserve"> </w:t>
      </w:r>
      <w:r>
        <w:rPr>
          <w:rFonts w:hint="eastAsia"/>
          <w:lang w:eastAsia="zh-CN"/>
        </w:rPr>
        <w:t xml:space="preserve">can only be configured in </w:t>
      </w:r>
      <w:r>
        <w:rPr>
          <w:rFonts w:hint="eastAsia"/>
          <w:i/>
        </w:rPr>
        <w:t>ServingCellConfigCommon</w:t>
      </w:r>
      <w:r>
        <w:rPr>
          <w:rFonts w:hint="eastAsia"/>
          <w:lang w:eastAsia="zh-CN"/>
        </w:rPr>
        <w:t xml:space="preserve">. </w:t>
      </w:r>
      <w:r>
        <w:rPr>
          <w:rFonts w:hint="eastAsia"/>
          <w:lang w:val="en-US" w:eastAsia="zh-CN"/>
        </w:rPr>
        <w:t>And t</w:t>
      </w:r>
      <w:r>
        <w:rPr>
          <w:rFonts w:hint="eastAsia"/>
          <w:lang w:eastAsia="zh-CN"/>
        </w:rPr>
        <w:t>he NCD-SSB reuse</w:t>
      </w:r>
      <w:r>
        <w:rPr>
          <w:rFonts w:hint="eastAsia"/>
          <w:lang w:val="en-US" w:eastAsia="zh-CN"/>
        </w:rPr>
        <w:t>s</w:t>
      </w:r>
      <w:r>
        <w:rPr>
          <w:rFonts w:hint="eastAsia"/>
          <w:lang w:eastAsia="zh-CN"/>
        </w:rPr>
        <w:t xml:space="preserve"> this property. Therefore, even there is no clarification for NCD-SSB, the </w:t>
      </w:r>
      <w:r>
        <w:rPr>
          <w:rFonts w:hint="eastAsia"/>
          <w:i/>
        </w:rPr>
        <w:t>ssb-PositionsInBurst</w:t>
      </w:r>
      <w:r>
        <w:rPr>
          <w:rFonts w:hint="eastAsia"/>
          <w:i/>
          <w:lang w:eastAsia="zh-CN"/>
        </w:rPr>
        <w:t xml:space="preserve"> </w:t>
      </w:r>
      <w:r>
        <w:rPr>
          <w:rFonts w:hint="eastAsia"/>
          <w:lang w:eastAsia="zh-CN"/>
        </w:rPr>
        <w:t xml:space="preserve">configured in </w:t>
      </w:r>
      <w:r>
        <w:rPr>
          <w:rFonts w:hint="eastAsia"/>
          <w:i/>
        </w:rPr>
        <w:t>ServingCellConfigCommon</w:t>
      </w:r>
      <w:r>
        <w:rPr>
          <w:rFonts w:hint="eastAsia"/>
          <w:lang w:eastAsia="zh-CN"/>
        </w:rPr>
        <w:t xml:space="preserve"> can also refer to the NCD-SSB in connected mode. Of course, adding clarification here is clearer. </w:t>
      </w:r>
    </w:p>
    <w:p>
      <w:pPr>
        <w:tabs>
          <w:tab w:val="left" w:pos="1170"/>
        </w:tabs>
        <w:rPr>
          <w:lang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lang w:eastAsia="zh-CN"/>
              </w:rPr>
            </w:pPr>
            <w:r>
              <w:rPr>
                <w:rFonts w:hint="eastAsia" w:ascii="New York" w:hAnsi="New York"/>
                <w:lang w:eastAsia="zh-CN"/>
              </w:rPr>
              <w:t>TS38.213 clause 11.1</w:t>
            </w:r>
          </w:p>
          <w:p>
            <w:pPr>
              <w:overflowPunct/>
              <w:autoSpaceDE/>
              <w:autoSpaceDN/>
              <w:adjustRightInd/>
              <w:spacing w:before="120" w:line="280" w:lineRule="atLeast"/>
              <w:jc w:val="left"/>
              <w:textAlignment w:val="auto"/>
              <w:rPr>
                <w:rFonts w:ascii="New York" w:hAnsi="New York"/>
              </w:rPr>
            </w:pPr>
            <w:r>
              <w:rPr>
                <w:rFonts w:hint="eastAsia" w:ascii="New York" w:hAnsi="New York"/>
                <w:lang w:val="en-GB"/>
              </w:rPr>
              <w:t xml:space="preserve">For </w:t>
            </w:r>
            <w:r>
              <w:rPr>
                <w:rFonts w:hint="eastAsia" w:ascii="New York" w:hAnsi="New York"/>
                <w:lang w:val="fi-FI"/>
              </w:rPr>
              <w:t xml:space="preserve">operation on a single carrier in unpaired spectrum, for </w:t>
            </w:r>
            <w:r>
              <w:rPr>
                <w:rFonts w:hint="eastAsia" w:ascii="New York" w:hAnsi="New York"/>
                <w:lang w:val="en-GB"/>
              </w:rPr>
              <w:t xml:space="preserve">a set of symbols of a slot indicated to a UE for reception of SS/PBCH blocks by </w:t>
            </w:r>
            <w:r>
              <w:rPr>
                <w:rFonts w:hint="eastAsia" w:ascii="New York" w:hAnsi="New York"/>
                <w:i/>
                <w:highlight w:val="yellow"/>
                <w:lang w:val="en-GB"/>
              </w:rPr>
              <w:t>ssb-PositionsInBurst</w:t>
            </w:r>
            <w:r>
              <w:rPr>
                <w:rFonts w:hint="eastAsia" w:ascii="New York" w:hAnsi="New York"/>
                <w:highlight w:val="yellow"/>
                <w:lang w:val="en-GB"/>
              </w:rPr>
              <w:t xml:space="preserve"> </w:t>
            </w:r>
            <w:r>
              <w:rPr>
                <w:rFonts w:hint="eastAsia" w:ascii="New York" w:hAnsi="New York"/>
                <w:highlight w:val="yellow"/>
              </w:rPr>
              <w:t xml:space="preserve">in </w:t>
            </w:r>
            <w:r>
              <w:rPr>
                <w:rFonts w:hint="eastAsia" w:ascii="New York" w:hAnsi="New York"/>
                <w:i/>
                <w:highlight w:val="yellow"/>
                <w:lang w:val="en-GB"/>
              </w:rPr>
              <w:t>SIB1</w:t>
            </w:r>
            <w:r>
              <w:rPr>
                <w:rFonts w:hint="eastAsia" w:ascii="New York" w:hAnsi="New York"/>
                <w:lang w:val="en-GB"/>
              </w:rPr>
              <w:t xml:space="preserve"> or by </w:t>
            </w:r>
            <w:r>
              <w:rPr>
                <w:rFonts w:hint="eastAsia" w:ascii="New York" w:hAnsi="New York"/>
                <w:i/>
                <w:lang w:val="en-GB"/>
              </w:rPr>
              <w:t>ssb-PositionsInBurst</w:t>
            </w:r>
            <w:r>
              <w:rPr>
                <w:rFonts w:hint="eastAsia" w:ascii="New York" w:hAnsi="New York"/>
                <w:lang w:val="en-GB"/>
              </w:rPr>
              <w:t xml:space="preserve"> </w:t>
            </w:r>
            <w:r>
              <w:rPr>
                <w:rFonts w:hint="eastAsia" w:ascii="New York" w:hAnsi="New York"/>
              </w:rPr>
              <w:t xml:space="preserve">in </w:t>
            </w:r>
            <w:r>
              <w:rPr>
                <w:rFonts w:hint="eastAsia" w:ascii="New York" w:hAnsi="New York"/>
                <w:i/>
                <w:lang w:val="en-GB"/>
              </w:rPr>
              <w:t>ServingCellConfigCommon</w:t>
            </w:r>
            <w:r>
              <w:rPr>
                <w:rFonts w:hint="eastAsia" w:ascii="New York" w:hAnsi="New York"/>
                <w:iCs/>
                <w:lang w:val="en-GB"/>
              </w:rPr>
              <w:t xml:space="preserve"> or, </w:t>
            </w:r>
            <w:r>
              <w:rPr>
                <w:rFonts w:hint="eastAsia" w:ascii="New York" w:hAnsi="New York"/>
                <w:lang w:val="en-GB"/>
              </w:rPr>
              <w:t xml:space="preserve">if the UE is not provided </w:t>
            </w:r>
            <w:r>
              <w:rPr>
                <w:rFonts w:hint="eastAsia" w:ascii="New York" w:hAnsi="New York" w:cs="Times"/>
                <w:i/>
                <w:iCs/>
                <w:szCs w:val="18"/>
                <w:lang w:val="en-GB" w:eastAsia="zh-CN"/>
              </w:rPr>
              <w:t>DLorJoint-TCIState</w:t>
            </w:r>
            <w:r>
              <w:rPr>
                <w:rFonts w:hint="eastAsia" w:ascii="New York" w:hAnsi="New York" w:cs="Times"/>
                <w:iCs/>
                <w:szCs w:val="18"/>
                <w:lang w:val="en-GB" w:eastAsia="zh-CN"/>
              </w:rPr>
              <w:t xml:space="preserve"> </w:t>
            </w:r>
            <w:r>
              <w:rPr>
                <w:rFonts w:hint="eastAsia" w:ascii="New York" w:hAnsi="New York" w:cs="Times"/>
                <w:iCs/>
                <w:szCs w:val="18"/>
                <w:lang w:eastAsia="zh-CN"/>
              </w:rPr>
              <w:t>or</w:t>
            </w:r>
            <w:r>
              <w:rPr>
                <w:rFonts w:hint="eastAsia" w:ascii="New York" w:hAnsi="New York"/>
              </w:rPr>
              <w:t xml:space="preserve"> </w:t>
            </w:r>
            <w:r>
              <w:rPr>
                <w:rFonts w:hint="eastAsia" w:ascii="New York" w:hAnsi="New York"/>
                <w:i/>
                <w:iCs/>
              </w:rPr>
              <w:t>followUnifiedTCIstate</w:t>
            </w:r>
            <w:r>
              <w:rPr>
                <w:rFonts w:hint="eastAsia" w:ascii="New York" w:hAnsi="New York"/>
              </w:rPr>
              <w:t>,</w:t>
            </w:r>
            <w:r>
              <w:rPr>
                <w:rFonts w:hint="eastAsia" w:ascii="New York" w:hAnsi="New York"/>
                <w:i/>
                <w:iCs/>
              </w:rPr>
              <w:t xml:space="preserve"> </w:t>
            </w:r>
            <w:r>
              <w:rPr>
                <w:rFonts w:hint="eastAsia" w:ascii="New York" w:hAnsi="New York"/>
                <w:lang w:val="en-GB"/>
              </w:rPr>
              <w:t xml:space="preserve">by </w:t>
            </w:r>
            <w:r>
              <w:rPr>
                <w:rFonts w:hint="eastAsia" w:ascii="New York" w:hAnsi="New York"/>
                <w:i/>
                <w:lang w:val="en-GB"/>
              </w:rPr>
              <w:t>ssb-PositionsInBurst</w:t>
            </w:r>
            <w:r>
              <w:rPr>
                <w:rFonts w:hint="eastAsia" w:ascii="New York" w:hAnsi="New York"/>
                <w:lang w:val="en-GB"/>
              </w:rPr>
              <w:t xml:space="preserve"> </w:t>
            </w:r>
            <w:r>
              <w:rPr>
                <w:rFonts w:hint="eastAsia" w:ascii="New York" w:hAnsi="New York"/>
              </w:rPr>
              <w:t xml:space="preserve">in </w:t>
            </w:r>
            <w:r>
              <w:rPr>
                <w:rFonts w:hint="eastAsia" w:ascii="New York" w:hAnsi="New York"/>
                <w:i/>
                <w:iCs/>
              </w:rPr>
              <w:t>SSB-MTCAdditionalPCI</w:t>
            </w:r>
            <w:r>
              <w:rPr>
                <w:rFonts w:hint="eastAsia" w:ascii="New York" w:hAnsi="New York"/>
                <w:lang w:val="en-GB"/>
              </w:rPr>
              <w:t xml:space="preserve"> associated to physical cell ID with active TCI states, the UE does not transmit PUSCH, PUCCH, PRACH</w:t>
            </w:r>
            <w:r>
              <w:rPr>
                <w:rFonts w:hint="eastAsia" w:ascii="New York" w:hAnsi="New York"/>
              </w:rPr>
              <w:t xml:space="preserve"> in the slot if a transmission would overlap with any symbol from </w:t>
            </w:r>
            <w:r>
              <w:rPr>
                <w:rFonts w:hint="eastAsia" w:ascii="New York" w:hAnsi="New York"/>
                <w:lang w:val="en-GB"/>
              </w:rPr>
              <w:t xml:space="preserve">the set of symbols </w:t>
            </w:r>
            <w:r>
              <w:rPr>
                <w:rFonts w:hint="eastAsia" w:ascii="New York" w:hAnsi="New York"/>
              </w:rPr>
              <w:t>and the UE does not transmit</w:t>
            </w:r>
            <w:r>
              <w:rPr>
                <w:rFonts w:hint="eastAsia" w:ascii="New York" w:hAnsi="New York"/>
                <w:lang w:val="en-GB"/>
              </w:rPr>
              <w:t xml:space="preserve"> SRS in the set of symbols of the slot.</w:t>
            </w:r>
            <w:r>
              <w:rPr>
                <w:rFonts w:hint="eastAsia" w:ascii="New York" w:hAnsi="New York"/>
              </w:rPr>
              <w:t xml:space="preserve"> The UE does not expect the set of symbols of the slot to be indicated as uplink by</w:t>
            </w:r>
            <w:r>
              <w:rPr>
                <w:rFonts w:hint="eastAsia" w:ascii="New York" w:hAnsi="New York"/>
                <w:lang w:val="en-GB"/>
              </w:rPr>
              <w:t xml:space="preserve"> </w:t>
            </w:r>
            <w:r>
              <w:rPr>
                <w:rFonts w:hint="eastAsia" w:ascii="New York" w:hAnsi="New York"/>
                <w:i/>
              </w:rPr>
              <w:t>tdd-</w:t>
            </w:r>
            <w:r>
              <w:rPr>
                <w:rFonts w:hint="eastAsia" w:ascii="New York" w:hAnsi="New York"/>
                <w:i/>
                <w:lang w:val="en-GB"/>
              </w:rPr>
              <w:t>UL-DL-</w:t>
            </w:r>
            <w:r>
              <w:rPr>
                <w:rFonts w:hint="eastAsia" w:ascii="New York" w:hAnsi="New York"/>
                <w:i/>
              </w:rPr>
              <w:t>ConfigurationCommon</w:t>
            </w:r>
            <w:r>
              <w:rPr>
                <w:rFonts w:hint="eastAsia" w:ascii="New York" w:hAnsi="New York"/>
              </w:rPr>
              <w:t xml:space="preserve">, or </w:t>
            </w:r>
            <w:r>
              <w:rPr>
                <w:rFonts w:hint="eastAsia" w:ascii="New York" w:hAnsi="New York"/>
                <w:i/>
              </w:rPr>
              <w:t>tdd-</w:t>
            </w:r>
            <w:r>
              <w:rPr>
                <w:rFonts w:hint="eastAsia" w:ascii="New York" w:hAnsi="New York"/>
                <w:i/>
                <w:lang w:val="en-GB"/>
              </w:rPr>
              <w:t>UL-DL-</w:t>
            </w:r>
            <w:r>
              <w:rPr>
                <w:rFonts w:hint="eastAsia" w:ascii="New York" w:hAnsi="New York"/>
                <w:i/>
              </w:rPr>
              <w:t>C</w:t>
            </w:r>
            <w:r>
              <w:rPr>
                <w:rFonts w:hint="eastAsia" w:ascii="New York" w:hAnsi="New York"/>
                <w:i/>
                <w:lang w:val="en-GB"/>
              </w:rPr>
              <w:t>onfiguration</w:t>
            </w:r>
            <w:r>
              <w:rPr>
                <w:rFonts w:hint="eastAsia" w:ascii="New York" w:hAnsi="New York"/>
                <w:i/>
              </w:rPr>
              <w:t>D</w:t>
            </w:r>
            <w:r>
              <w:rPr>
                <w:rFonts w:hint="eastAsia" w:ascii="New York" w:hAnsi="New York"/>
                <w:i/>
                <w:lang w:val="en-GB"/>
              </w:rPr>
              <w:t>edicated</w:t>
            </w:r>
            <w:r>
              <w:rPr>
                <w:rFonts w:hint="eastAsia" w:ascii="New York" w:hAnsi="New York"/>
                <w:lang w:val="en-GB"/>
              </w:rPr>
              <w:t xml:space="preserve">, </w:t>
            </w:r>
            <w:r>
              <w:rPr>
                <w:rFonts w:hint="eastAsia" w:ascii="New York" w:hAnsi="New York"/>
              </w:rPr>
              <w:t>when provided to the UE.</w:t>
            </w:r>
          </w:p>
          <w:p>
            <w:pPr>
              <w:spacing w:before="120" w:line="280" w:lineRule="atLeast"/>
              <w:rPr>
                <w:rFonts w:ascii="New York" w:hAnsi="New York"/>
                <w:lang w:eastAsia="zh-CN"/>
              </w:rPr>
            </w:pPr>
            <w:r>
              <w:rPr>
                <w:rFonts w:hint="eastAsia" w:ascii="New York" w:hAnsi="New York"/>
                <w:lang w:eastAsia="zh-CN"/>
              </w:rPr>
              <w:t>TS38.213 clause 11.1.1</w:t>
            </w:r>
          </w:p>
          <w:p>
            <w:pPr>
              <w:overflowPunct/>
              <w:autoSpaceDE/>
              <w:autoSpaceDN/>
              <w:adjustRightInd/>
              <w:spacing w:before="120" w:line="280" w:lineRule="atLeast"/>
              <w:jc w:val="left"/>
              <w:textAlignment w:val="auto"/>
              <w:rPr>
                <w:rFonts w:ascii="New York" w:hAnsi="New York"/>
                <w:lang w:eastAsia="zh-CN"/>
              </w:rPr>
            </w:pPr>
            <w:r>
              <w:rPr>
                <w:rFonts w:hint="eastAsia" w:ascii="New York" w:hAnsi="New York"/>
                <w:lang w:val="en-GB"/>
              </w:rPr>
              <w:t xml:space="preserve">For </w:t>
            </w:r>
            <w:r>
              <w:rPr>
                <w:rFonts w:hint="eastAsia" w:ascii="New York" w:hAnsi="New York"/>
                <w:lang w:val="fi-FI"/>
              </w:rPr>
              <w:t xml:space="preserve">operation on a single carrier in unpaired spectrum, for </w:t>
            </w:r>
            <w:r>
              <w:rPr>
                <w:rFonts w:hint="eastAsia" w:ascii="New York" w:hAnsi="New York"/>
                <w:lang w:val="en-GB"/>
              </w:rPr>
              <w:t xml:space="preserve">a set of symbols of a slot indicated to a UE for reception of SS/PBCH blocks by </w:t>
            </w:r>
            <w:r>
              <w:rPr>
                <w:rFonts w:hint="eastAsia" w:ascii="New York" w:hAnsi="New York"/>
                <w:i/>
                <w:highlight w:val="yellow"/>
                <w:lang w:val="en-GB"/>
              </w:rPr>
              <w:t>ssb-PositionsInBurst</w:t>
            </w:r>
            <w:r>
              <w:rPr>
                <w:rFonts w:hint="eastAsia" w:ascii="New York" w:hAnsi="New York"/>
                <w:highlight w:val="yellow"/>
                <w:lang w:val="en-GB"/>
              </w:rPr>
              <w:t xml:space="preserve"> </w:t>
            </w:r>
            <w:r>
              <w:rPr>
                <w:rFonts w:hint="eastAsia" w:ascii="New York" w:hAnsi="New York"/>
                <w:highlight w:val="yellow"/>
              </w:rPr>
              <w:t xml:space="preserve">in </w:t>
            </w:r>
            <w:r>
              <w:rPr>
                <w:rFonts w:hint="eastAsia" w:ascii="New York" w:hAnsi="New York"/>
                <w:i/>
                <w:highlight w:val="yellow"/>
                <w:lang w:val="en-GB"/>
              </w:rPr>
              <w:t>SIB1</w:t>
            </w:r>
            <w:r>
              <w:rPr>
                <w:rFonts w:hint="eastAsia" w:ascii="New York" w:hAnsi="New York"/>
                <w:lang w:val="en-GB"/>
              </w:rPr>
              <w:t xml:space="preserve"> or by </w:t>
            </w:r>
            <w:r>
              <w:rPr>
                <w:rFonts w:hint="eastAsia" w:ascii="New York" w:hAnsi="New York"/>
                <w:i/>
                <w:lang w:val="en-GB"/>
              </w:rPr>
              <w:t>ssb-PositionsInBurst</w:t>
            </w:r>
            <w:r>
              <w:rPr>
                <w:rFonts w:hint="eastAsia" w:ascii="New York" w:hAnsi="New York"/>
                <w:lang w:val="en-GB"/>
              </w:rPr>
              <w:t xml:space="preserve"> </w:t>
            </w:r>
            <w:r>
              <w:rPr>
                <w:rFonts w:hint="eastAsia" w:ascii="New York" w:hAnsi="New York"/>
              </w:rPr>
              <w:t xml:space="preserve">in </w:t>
            </w:r>
            <w:r>
              <w:rPr>
                <w:rFonts w:hint="eastAsia" w:ascii="New York" w:hAnsi="New York"/>
                <w:i/>
                <w:lang w:val="en-GB"/>
              </w:rPr>
              <w:t>ServingCellConfigCommon</w:t>
            </w:r>
            <w:r>
              <w:rPr>
                <w:rFonts w:hint="eastAsia" w:ascii="New York" w:hAnsi="New York"/>
                <w:iCs/>
                <w:lang w:val="en-GB"/>
              </w:rPr>
              <w:t xml:space="preserve"> or, </w:t>
            </w:r>
            <w:r>
              <w:rPr>
                <w:rFonts w:hint="eastAsia" w:ascii="New York" w:hAnsi="New York"/>
                <w:lang w:val="en-GB"/>
              </w:rPr>
              <w:t xml:space="preserve">if the UE is not provided </w:t>
            </w:r>
            <w:r>
              <w:rPr>
                <w:rFonts w:hint="eastAsia" w:ascii="New York" w:hAnsi="New York" w:cs="Times"/>
                <w:i/>
                <w:iCs/>
                <w:szCs w:val="18"/>
                <w:lang w:val="en-GB" w:eastAsia="zh-CN"/>
              </w:rPr>
              <w:t>DLorJoint-TCIState</w:t>
            </w:r>
            <w:r>
              <w:rPr>
                <w:rFonts w:hint="eastAsia" w:ascii="New York" w:hAnsi="New York" w:cs="Times"/>
                <w:iCs/>
                <w:szCs w:val="18"/>
                <w:lang w:val="en-GB" w:eastAsia="zh-CN"/>
              </w:rPr>
              <w:t xml:space="preserve"> </w:t>
            </w:r>
            <w:r>
              <w:rPr>
                <w:rFonts w:hint="eastAsia" w:ascii="New York" w:hAnsi="New York" w:cs="Times"/>
                <w:iCs/>
                <w:szCs w:val="18"/>
                <w:lang w:eastAsia="zh-CN"/>
              </w:rPr>
              <w:t>or</w:t>
            </w:r>
            <w:r>
              <w:rPr>
                <w:rFonts w:hint="eastAsia" w:ascii="New York" w:hAnsi="New York"/>
              </w:rPr>
              <w:t xml:space="preserve"> </w:t>
            </w:r>
            <w:r>
              <w:rPr>
                <w:rFonts w:hint="eastAsia" w:ascii="New York" w:hAnsi="New York"/>
                <w:i/>
                <w:iCs/>
              </w:rPr>
              <w:t>followUnifiedTCIstate</w:t>
            </w:r>
            <w:r>
              <w:rPr>
                <w:rFonts w:hint="eastAsia" w:ascii="New York" w:hAnsi="New York"/>
              </w:rPr>
              <w:t>,</w:t>
            </w:r>
            <w:r>
              <w:rPr>
                <w:rFonts w:hint="eastAsia" w:ascii="New York" w:hAnsi="New York"/>
                <w:i/>
                <w:iCs/>
              </w:rPr>
              <w:t xml:space="preserve"> </w:t>
            </w:r>
            <w:r>
              <w:rPr>
                <w:rFonts w:hint="eastAsia" w:ascii="New York" w:hAnsi="New York"/>
                <w:lang w:val="en-GB"/>
              </w:rPr>
              <w:t xml:space="preserve">by </w:t>
            </w:r>
            <w:r>
              <w:rPr>
                <w:rFonts w:hint="eastAsia" w:ascii="New York" w:hAnsi="New York"/>
                <w:i/>
                <w:lang w:val="en-GB"/>
              </w:rPr>
              <w:t>ssb-PositionsInBurst</w:t>
            </w:r>
            <w:r>
              <w:rPr>
                <w:rFonts w:hint="eastAsia" w:ascii="New York" w:hAnsi="New York"/>
                <w:lang w:val="en-GB"/>
              </w:rPr>
              <w:t xml:space="preserve"> </w:t>
            </w:r>
            <w:r>
              <w:rPr>
                <w:rFonts w:hint="eastAsia" w:ascii="New York" w:hAnsi="New York"/>
              </w:rPr>
              <w:t xml:space="preserve">in </w:t>
            </w:r>
            <w:r>
              <w:rPr>
                <w:rFonts w:hint="eastAsia" w:ascii="New York" w:hAnsi="New York"/>
                <w:i/>
                <w:iCs/>
              </w:rPr>
              <w:t>SSB-MTCAdditionalPCI</w:t>
            </w:r>
            <w:r>
              <w:rPr>
                <w:rFonts w:hint="eastAsia" w:ascii="New York" w:hAnsi="New York"/>
                <w:lang w:val="en-GB"/>
              </w:rPr>
              <w:t xml:space="preserve"> associated to physical cell ID with active TCI states, the UE does not transmit PUSCH, PUCCH, PRACH</w:t>
            </w:r>
            <w:r>
              <w:rPr>
                <w:rFonts w:hint="eastAsia" w:ascii="New York" w:hAnsi="New York"/>
              </w:rPr>
              <w:t xml:space="preserve"> in the slot if a transmission would overlap with any symbol from </w:t>
            </w:r>
            <w:r>
              <w:rPr>
                <w:rFonts w:hint="eastAsia" w:ascii="New York" w:hAnsi="New York"/>
                <w:lang w:val="en-GB"/>
              </w:rPr>
              <w:t xml:space="preserve">the set of symbols </w:t>
            </w:r>
            <w:r>
              <w:rPr>
                <w:rFonts w:hint="eastAsia" w:ascii="New York" w:hAnsi="New York"/>
              </w:rPr>
              <w:t>and the UE does not transmit</w:t>
            </w:r>
            <w:r>
              <w:rPr>
                <w:rFonts w:hint="eastAsia" w:ascii="New York" w:hAnsi="New York"/>
                <w:lang w:val="en-GB"/>
              </w:rPr>
              <w:t xml:space="preserve"> SRS in the set of symbols of the slot.</w:t>
            </w:r>
            <w:r>
              <w:rPr>
                <w:rFonts w:hint="eastAsia" w:ascii="New York" w:hAnsi="New York"/>
              </w:rPr>
              <w:t xml:space="preserve"> The UE does not expect the set of symbols of the slot to be indicated as uplink by</w:t>
            </w:r>
            <w:r>
              <w:rPr>
                <w:rFonts w:hint="eastAsia" w:ascii="New York" w:hAnsi="New York"/>
                <w:lang w:val="en-GB"/>
              </w:rPr>
              <w:t xml:space="preserve"> </w:t>
            </w:r>
            <w:r>
              <w:rPr>
                <w:rFonts w:hint="eastAsia" w:ascii="New York" w:hAnsi="New York"/>
                <w:i/>
              </w:rPr>
              <w:t>tdd-</w:t>
            </w:r>
            <w:r>
              <w:rPr>
                <w:rFonts w:hint="eastAsia" w:ascii="New York" w:hAnsi="New York"/>
                <w:i/>
                <w:lang w:val="en-GB"/>
              </w:rPr>
              <w:t>UL-DL-</w:t>
            </w:r>
            <w:r>
              <w:rPr>
                <w:rFonts w:hint="eastAsia" w:ascii="New York" w:hAnsi="New York"/>
                <w:i/>
              </w:rPr>
              <w:t>ConfigurationCommon</w:t>
            </w:r>
            <w:r>
              <w:rPr>
                <w:rFonts w:hint="eastAsia" w:ascii="New York" w:hAnsi="New York"/>
              </w:rPr>
              <w:t xml:space="preserve">, or </w:t>
            </w:r>
            <w:r>
              <w:rPr>
                <w:rFonts w:hint="eastAsia" w:ascii="New York" w:hAnsi="New York"/>
                <w:i/>
              </w:rPr>
              <w:t>tdd-</w:t>
            </w:r>
            <w:r>
              <w:rPr>
                <w:rFonts w:hint="eastAsia" w:ascii="New York" w:hAnsi="New York"/>
                <w:i/>
                <w:lang w:val="en-GB"/>
              </w:rPr>
              <w:t>UL-DL-</w:t>
            </w:r>
            <w:r>
              <w:rPr>
                <w:rFonts w:hint="eastAsia" w:ascii="New York" w:hAnsi="New York"/>
                <w:i/>
              </w:rPr>
              <w:t>C</w:t>
            </w:r>
            <w:r>
              <w:rPr>
                <w:rFonts w:hint="eastAsia" w:ascii="New York" w:hAnsi="New York"/>
                <w:i/>
                <w:lang w:val="en-GB"/>
              </w:rPr>
              <w:t>onfiguration</w:t>
            </w:r>
            <w:r>
              <w:rPr>
                <w:rFonts w:hint="eastAsia" w:ascii="New York" w:hAnsi="New York"/>
                <w:i/>
              </w:rPr>
              <w:t>D</w:t>
            </w:r>
            <w:r>
              <w:rPr>
                <w:rFonts w:hint="eastAsia" w:ascii="New York" w:hAnsi="New York"/>
                <w:i/>
                <w:lang w:val="en-GB"/>
              </w:rPr>
              <w:t>edicated</w:t>
            </w:r>
            <w:r>
              <w:rPr>
                <w:rFonts w:hint="eastAsia" w:ascii="New York" w:hAnsi="New York"/>
                <w:lang w:val="en-GB"/>
              </w:rPr>
              <w:t xml:space="preserve">, </w:t>
            </w:r>
            <w:r>
              <w:rPr>
                <w:rFonts w:hint="eastAsia" w:ascii="New York" w:hAnsi="New York"/>
              </w:rPr>
              <w:t>when provided to the UE.</w:t>
            </w:r>
          </w:p>
        </w:tc>
      </w:tr>
    </w:tbl>
    <w:p>
      <w:pPr>
        <w:tabs>
          <w:tab w:val="left" w:pos="1170"/>
        </w:tabs>
        <w:rPr>
          <w:lang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autoSpaceDE/>
              <w:autoSpaceDN/>
              <w:adjustRightInd/>
              <w:spacing w:before="120" w:line="280" w:lineRule="atLeast"/>
              <w:jc w:val="left"/>
              <w:textAlignment w:val="auto"/>
              <w:rPr>
                <w:rFonts w:ascii="New York" w:hAnsi="New York" w:cs="Arial"/>
                <w:color w:val="000000"/>
                <w:szCs w:val="32"/>
                <w:lang w:eastAsia="zh-CN"/>
              </w:rPr>
            </w:pPr>
            <w:r>
              <w:rPr>
                <w:rFonts w:hint="eastAsia" w:ascii="New York" w:hAnsi="New York"/>
                <w:lang w:eastAsia="zh-CN"/>
              </w:rPr>
              <w:t>TS38.213 clause 19.1</w:t>
            </w:r>
          </w:p>
          <w:p>
            <w:pPr>
              <w:overflowPunct/>
              <w:autoSpaceDE/>
              <w:autoSpaceDN/>
              <w:adjustRightInd/>
              <w:spacing w:before="120" w:line="280" w:lineRule="atLeast"/>
              <w:jc w:val="left"/>
              <w:textAlignment w:val="auto"/>
              <w:rPr>
                <w:rFonts w:ascii="New York" w:hAnsi="New York"/>
              </w:rPr>
            </w:pPr>
            <w:r>
              <w:rPr>
                <w:rFonts w:hint="eastAsia" w:ascii="New York" w:hAnsi="New York" w:cs="Arial"/>
                <w:color w:val="000000"/>
                <w:szCs w:val="32"/>
                <w:lang w:val="en-GB" w:eastAsia="zh-CN"/>
              </w:rPr>
              <w:t xml:space="preserve">A UE can be provided </w:t>
            </w:r>
            <w:r>
              <w:rPr>
                <w:rFonts w:hint="eastAsia" w:ascii="New York" w:hAnsi="New York"/>
                <w:lang w:val="en-GB"/>
              </w:rPr>
              <w:t xml:space="preserve">by </w:t>
            </w:r>
            <w:r>
              <w:rPr>
                <w:rFonts w:hint="eastAsia" w:ascii="New York" w:hAnsi="New York"/>
                <w:i/>
                <w:iCs/>
                <w:lang w:val="en-GB"/>
              </w:rPr>
              <w:t>sdt-SSB-Subset</w:t>
            </w:r>
            <w:r>
              <w:rPr>
                <w:rFonts w:hint="eastAsia" w:ascii="New York" w:hAnsi="New York" w:cs="Arial"/>
                <w:szCs w:val="32"/>
                <w:lang w:val="en-GB" w:eastAsia="zh-CN"/>
              </w:rPr>
              <w:t xml:space="preserve"> a </w:t>
            </w:r>
            <w:r>
              <w:rPr>
                <w:rFonts w:hint="eastAsia" w:ascii="New York" w:hAnsi="New York"/>
                <w:lang w:val="en-GB"/>
              </w:rPr>
              <w:t xml:space="preserve">number of SS/PBCH block indexes </w:t>
            </w:r>
            <m:oMath>
              <m:sSubSup>
                <m:sSubSupPr>
                  <m:ctrlPr>
                    <w:rPr>
                      <w:rFonts w:hint="eastAsia" w:ascii="Cambria Math" w:hAnsi="Cambria Math"/>
                      <w:i/>
                    </w:rPr>
                  </m:ctrlPr>
                </m:sSubSupPr>
                <m:e>
                  <m:r>
                    <w:rPr>
                      <w:rFonts w:hint="eastAsia" w:ascii="Cambria Math" w:hAnsi="Cambria Math"/>
                    </w:rPr>
                    <m:t>N</m:t>
                  </m:r>
                  <m:ctrlPr>
                    <w:rPr>
                      <w:rFonts w:hint="eastAsia" w:ascii="Cambria Math" w:hAnsi="Cambria Math"/>
                      <w:i/>
                    </w:rPr>
                  </m:ctrlPr>
                </m:e>
                <m:sub>
                  <m:r>
                    <m:rPr>
                      <m:sty m:val="p"/>
                    </m:rPr>
                    <w:rPr>
                      <w:rFonts w:hint="eastAsia" w:ascii="Cambria Math" w:hAnsi="Cambria Math"/>
                    </w:rPr>
                    <m:t>PUSCH</m:t>
                  </m:r>
                  <m:ctrlPr>
                    <w:rPr>
                      <w:rFonts w:hint="eastAsia" w:ascii="Cambria Math" w:hAnsi="Cambria Math"/>
                      <w:i/>
                    </w:rPr>
                  </m:ctrlPr>
                </m:sub>
                <m:sup>
                  <m:r>
                    <m:rPr>
                      <m:sty m:val="p"/>
                    </m:rPr>
                    <w:rPr>
                      <w:rFonts w:hint="eastAsia" w:ascii="Cambria Math" w:hAnsi="Cambria Math"/>
                    </w:rPr>
                    <m:t>SS/PBCH</m:t>
                  </m:r>
                  <m:ctrlPr>
                    <w:rPr>
                      <w:rFonts w:hint="eastAsia" w:ascii="Cambria Math" w:hAnsi="Cambria Math"/>
                      <w:i/>
                    </w:rPr>
                  </m:ctrlPr>
                </m:sup>
              </m:sSubSup>
            </m:oMath>
            <w:r>
              <w:rPr>
                <w:rFonts w:hint="eastAsia" w:ascii="New York" w:hAnsi="New York"/>
                <w:lang w:val="en-GB"/>
              </w:rPr>
              <w:t xml:space="preserve"> to map to a number of valid PUSCH occasions for PUSCH transmissions </w:t>
            </w:r>
            <w:r>
              <w:rPr>
                <w:rFonts w:hint="eastAsia" w:ascii="New York" w:hAnsi="New York" w:cs="Arial"/>
                <w:color w:val="000000"/>
                <w:szCs w:val="32"/>
                <w:lang w:val="en-GB" w:eastAsia="zh-CN"/>
              </w:rPr>
              <w:t xml:space="preserve">over an association period. If the UE is not provided </w:t>
            </w:r>
            <w:r>
              <w:rPr>
                <w:rFonts w:hint="eastAsia" w:ascii="New York" w:hAnsi="New York"/>
                <w:i/>
                <w:iCs/>
                <w:lang w:val="en-GB"/>
              </w:rPr>
              <w:t>sdt-SSB-Subset</w:t>
            </w:r>
            <w:r>
              <w:rPr>
                <w:rFonts w:hint="eastAsia" w:ascii="New York" w:hAnsi="New York" w:cs="Arial"/>
                <w:lang w:val="en-GB"/>
              </w:rPr>
              <w:t xml:space="preserve">, the UE determines </w:t>
            </w:r>
            <m:oMath>
              <m:sSubSup>
                <m:sSubSupPr>
                  <m:ctrlPr>
                    <w:rPr>
                      <w:rFonts w:hint="eastAsia" w:ascii="Cambria Math" w:hAnsi="Cambria Math"/>
                      <w:i/>
                    </w:rPr>
                  </m:ctrlPr>
                </m:sSubSupPr>
                <m:e>
                  <m:r>
                    <w:rPr>
                      <w:rFonts w:hint="eastAsia" w:ascii="Cambria Math" w:hAnsi="Cambria Math"/>
                    </w:rPr>
                    <m:t>N</m:t>
                  </m:r>
                  <m:ctrlPr>
                    <w:rPr>
                      <w:rFonts w:hint="eastAsia" w:ascii="Cambria Math" w:hAnsi="Cambria Math"/>
                      <w:i/>
                    </w:rPr>
                  </m:ctrlPr>
                </m:e>
                <m:sub>
                  <m:r>
                    <m:rPr>
                      <m:sty m:val="p"/>
                    </m:rPr>
                    <w:rPr>
                      <w:rFonts w:hint="eastAsia" w:ascii="Cambria Math" w:hAnsi="Cambria Math"/>
                    </w:rPr>
                    <m:t>PUSCH</m:t>
                  </m:r>
                  <m:ctrlPr>
                    <w:rPr>
                      <w:rFonts w:hint="eastAsia" w:ascii="Cambria Math" w:hAnsi="Cambria Math"/>
                      <w:i/>
                    </w:rPr>
                  </m:ctrlPr>
                </m:sub>
                <m:sup>
                  <m:r>
                    <m:rPr>
                      <m:sty m:val="p"/>
                    </m:rPr>
                    <w:rPr>
                      <w:rFonts w:hint="eastAsia" w:ascii="Cambria Math" w:hAnsi="Cambria Math"/>
                    </w:rPr>
                    <m:t>SS/PBCH</m:t>
                  </m:r>
                  <m:ctrlPr>
                    <w:rPr>
                      <w:rFonts w:hint="eastAsia" w:ascii="Cambria Math" w:hAnsi="Cambria Math"/>
                      <w:i/>
                    </w:rPr>
                  </m:ctrlPr>
                </m:sup>
              </m:sSubSup>
            </m:oMath>
            <w:r>
              <w:rPr>
                <w:rFonts w:hint="eastAsia" w:ascii="New York" w:hAnsi="New York" w:cs="Arial"/>
                <w:lang w:val="en-GB"/>
              </w:rPr>
              <w:t xml:space="preserve"> from </w:t>
            </w:r>
            <w:r>
              <w:rPr>
                <w:rFonts w:hint="eastAsia" w:ascii="New York" w:hAnsi="New York"/>
                <w:lang w:val="en-GB"/>
              </w:rPr>
              <w:t xml:space="preserve">the value of </w:t>
            </w:r>
            <w:r>
              <w:rPr>
                <w:rFonts w:hint="eastAsia" w:ascii="New York" w:hAnsi="New York"/>
                <w:i/>
                <w:highlight w:val="yellow"/>
                <w:lang w:val="en-GB"/>
              </w:rPr>
              <w:t>ssb-PositionsInBurst</w:t>
            </w:r>
            <w:r>
              <w:rPr>
                <w:rFonts w:hint="eastAsia" w:ascii="New York" w:hAnsi="New York"/>
                <w:highlight w:val="yellow"/>
                <w:lang w:val="en-GB"/>
              </w:rPr>
              <w:t xml:space="preserve"> </w:t>
            </w:r>
            <w:r>
              <w:rPr>
                <w:rFonts w:hint="eastAsia" w:ascii="New York" w:hAnsi="New York"/>
                <w:highlight w:val="yellow"/>
              </w:rPr>
              <w:t xml:space="preserve">in </w:t>
            </w:r>
            <w:r>
              <w:rPr>
                <w:rFonts w:hint="eastAsia" w:ascii="New York" w:hAnsi="New York"/>
                <w:i/>
                <w:highlight w:val="yellow"/>
                <w:lang w:val="en-GB"/>
              </w:rPr>
              <w:t>S</w:t>
            </w:r>
            <w:r>
              <w:rPr>
                <w:rFonts w:hint="eastAsia" w:ascii="New York" w:hAnsi="New York"/>
                <w:i/>
                <w:highlight w:val="yellow"/>
                <w:lang w:val="en-GB" w:eastAsia="zh-CN"/>
              </w:rPr>
              <w:t>IB</w:t>
            </w:r>
            <w:r>
              <w:rPr>
                <w:rFonts w:hint="eastAsia" w:ascii="New York" w:hAnsi="New York"/>
                <w:i/>
                <w:highlight w:val="yellow"/>
                <w:lang w:val="en-GB"/>
              </w:rPr>
              <w:t>1</w:t>
            </w:r>
            <w:r>
              <w:rPr>
                <w:rFonts w:hint="eastAsia" w:ascii="New York" w:hAnsi="New York"/>
                <w:lang w:val="en-GB"/>
              </w:rPr>
              <w:t xml:space="preserve"> or by </w:t>
            </w:r>
            <w:r>
              <w:rPr>
                <w:rFonts w:hint="eastAsia" w:ascii="New York" w:hAnsi="New York"/>
                <w:i/>
                <w:lang w:val="en-GB"/>
              </w:rPr>
              <w:t>ServingCellConfigCommon</w:t>
            </w:r>
            <w:r>
              <w:rPr>
                <w:rFonts w:hint="eastAsia" w:ascii="New York" w:hAnsi="New York"/>
                <w:iCs/>
                <w:lang w:val="en-GB"/>
              </w:rPr>
              <w:t xml:space="preserve">. </w:t>
            </w:r>
            <w:r>
              <w:rPr>
                <w:rFonts w:hint="eastAsia" w:ascii="New York" w:hAnsi="New York"/>
              </w:rPr>
              <w:t xml:space="preserve">A PUSCH occasion for a PUSCH transmission is defined by a time resource and a frequency resource and is associated with a DM-RS provided by </w:t>
            </w:r>
            <w:r>
              <w:rPr>
                <w:rFonts w:hint="eastAsia" w:ascii="New York" w:hAnsi="New York"/>
                <w:i/>
                <w:iCs/>
              </w:rPr>
              <w:t>cg-DMRS-Configuration</w:t>
            </w:r>
            <w:r>
              <w:rPr>
                <w:rFonts w:hint="eastAsia" w:ascii="New York" w:hAnsi="New York"/>
              </w:rPr>
              <w:t xml:space="preserve"> for the configuration of </w:t>
            </w:r>
            <w:r>
              <w:rPr>
                <w:rFonts w:hint="eastAsia" w:ascii="New York" w:hAnsi="New York"/>
                <w:lang w:val="en-GB"/>
              </w:rPr>
              <w:t>PUSCH transmissions</w:t>
            </w:r>
            <w:r>
              <w:rPr>
                <w:rFonts w:hint="eastAsia" w:ascii="New York" w:hAnsi="New York"/>
              </w:rPr>
              <w:t>.</w:t>
            </w:r>
          </w:p>
          <w:p>
            <w:pPr>
              <w:spacing w:before="120" w:line="280" w:lineRule="atLeast"/>
              <w:rPr>
                <w:rFonts w:ascii="New York" w:hAnsi="New York"/>
                <w:lang w:eastAsia="zh-CN"/>
              </w:rPr>
            </w:pPr>
            <w:r>
              <w:rPr>
                <w:rFonts w:hint="eastAsia" w:ascii="New York" w:hAnsi="New York"/>
                <w:lang w:eastAsia="zh-CN"/>
              </w:rPr>
              <w:t>......</w:t>
            </w:r>
          </w:p>
          <w:p>
            <w:pPr>
              <w:overflowPunct/>
              <w:autoSpaceDE/>
              <w:autoSpaceDN/>
              <w:adjustRightInd/>
              <w:spacing w:before="120" w:line="280" w:lineRule="atLeast"/>
              <w:jc w:val="left"/>
              <w:textAlignment w:val="auto"/>
              <w:rPr>
                <w:rFonts w:ascii="New York" w:hAnsi="New York"/>
                <w:lang w:val="en-GB" w:eastAsia="zh-CN"/>
              </w:rPr>
            </w:pPr>
            <w:r>
              <w:rPr>
                <w:rFonts w:hint="eastAsia" w:ascii="New York" w:hAnsi="New York"/>
                <w:lang w:val="en-GB" w:eastAsia="zh-CN"/>
              </w:rPr>
              <w:t>For unpaired spectrum and for SS/PBCH blocks with indexes provided by</w:t>
            </w:r>
            <w:r>
              <w:rPr>
                <w:rFonts w:hint="eastAsia" w:ascii="New York" w:hAnsi="New York"/>
                <w:lang w:val="en-GB"/>
              </w:rPr>
              <w:t xml:space="preserve"> </w:t>
            </w:r>
            <w:r>
              <w:rPr>
                <w:rFonts w:hint="eastAsia" w:ascii="New York" w:hAnsi="New York"/>
                <w:i/>
                <w:highlight w:val="yellow"/>
                <w:lang w:val="en-GB"/>
              </w:rPr>
              <w:t>ssb-PositionsInBurst</w:t>
            </w:r>
            <w:r>
              <w:rPr>
                <w:rFonts w:hint="eastAsia" w:ascii="New York" w:hAnsi="New York"/>
                <w:highlight w:val="yellow"/>
                <w:lang w:val="en-GB"/>
              </w:rPr>
              <w:t xml:space="preserve"> </w:t>
            </w:r>
            <w:r>
              <w:rPr>
                <w:rFonts w:hint="eastAsia" w:ascii="New York" w:hAnsi="New York"/>
                <w:highlight w:val="yellow"/>
              </w:rPr>
              <w:t xml:space="preserve">in </w:t>
            </w:r>
            <w:r>
              <w:rPr>
                <w:rFonts w:hint="eastAsia" w:ascii="New York" w:hAnsi="New York"/>
                <w:i/>
                <w:highlight w:val="yellow"/>
                <w:lang w:val="en-GB"/>
              </w:rPr>
              <w:t>S</w:t>
            </w:r>
            <w:r>
              <w:rPr>
                <w:rFonts w:hint="eastAsia" w:ascii="New York" w:hAnsi="New York"/>
                <w:i/>
                <w:highlight w:val="yellow"/>
                <w:lang w:val="en-GB" w:eastAsia="zh-CN"/>
              </w:rPr>
              <w:t>IB</w:t>
            </w:r>
            <w:r>
              <w:rPr>
                <w:rFonts w:hint="eastAsia" w:ascii="New York" w:hAnsi="New York"/>
                <w:i/>
                <w:highlight w:val="yellow"/>
                <w:lang w:val="en-GB"/>
              </w:rPr>
              <w:t>1</w:t>
            </w:r>
            <w:r>
              <w:rPr>
                <w:rFonts w:hint="eastAsia" w:ascii="New York" w:hAnsi="New York"/>
                <w:lang w:val="en-GB"/>
              </w:rPr>
              <w:t xml:space="preserve"> or by </w:t>
            </w:r>
            <w:r>
              <w:rPr>
                <w:rFonts w:hint="eastAsia" w:ascii="New York" w:hAnsi="New York"/>
                <w:i/>
                <w:lang w:val="en-GB"/>
              </w:rPr>
              <w:t>ServingCellConfigCommon</w:t>
            </w:r>
          </w:p>
          <w:p>
            <w:pPr>
              <w:spacing w:before="120" w:line="280" w:lineRule="atLeast"/>
              <w:ind w:left="568" w:hanging="284"/>
              <w:rPr>
                <w:rFonts w:ascii="New York" w:hAnsi="New York"/>
              </w:rPr>
            </w:pPr>
            <w:r>
              <w:rPr>
                <w:rFonts w:hint="eastAsia" w:ascii="New York" w:hAnsi="New York"/>
              </w:rPr>
              <w:t>-</w:t>
            </w:r>
            <w:r>
              <w:rPr>
                <w:rFonts w:hint="eastAsia" w:ascii="New York" w:hAnsi="New York"/>
              </w:rPr>
              <w:tab/>
            </w:r>
            <w:r>
              <w:rPr>
                <w:rFonts w:hint="eastAsia" w:ascii="New York" w:hAnsi="New York"/>
                <w:lang w:eastAsia="zh-CN"/>
              </w:rPr>
              <w:t xml:space="preserve">if a UE is not provided </w:t>
            </w:r>
            <w:r>
              <w:rPr>
                <w:rFonts w:hint="eastAsia" w:ascii="New York" w:hAnsi="New York"/>
                <w:i/>
              </w:rPr>
              <w:t>tdd-UL-DL-ConfigurationCommon</w:t>
            </w:r>
            <w:r>
              <w:rPr>
                <w:rFonts w:hint="eastAsia" w:ascii="New York" w:hAnsi="New York"/>
              </w:rPr>
              <w:t>, a PUSCH occasion is valid if the PUSCH occasion</w:t>
            </w:r>
          </w:p>
          <w:p>
            <w:pPr>
              <w:spacing w:before="120" w:line="280" w:lineRule="atLeast"/>
              <w:ind w:left="851" w:hanging="284"/>
              <w:rPr>
                <w:rFonts w:ascii="New York" w:hAnsi="New York"/>
              </w:rPr>
            </w:pPr>
            <w:r>
              <w:rPr>
                <w:rFonts w:hint="eastAsia" w:ascii="New York" w:hAnsi="New York"/>
              </w:rPr>
              <w:t>-</w:t>
            </w:r>
            <w:r>
              <w:rPr>
                <w:rFonts w:hint="eastAsia" w:ascii="New York" w:hAnsi="New York"/>
              </w:rPr>
              <w:tab/>
            </w:r>
            <w:r>
              <w:rPr>
                <w:rFonts w:hint="eastAsia" w:ascii="New York" w:hAnsi="New York"/>
              </w:rPr>
              <w:t xml:space="preserve">does not precede a SS/PBCH block in the PUSCH slot, and </w:t>
            </w:r>
          </w:p>
          <w:p>
            <w:pPr>
              <w:spacing w:before="120" w:line="280" w:lineRule="atLeast"/>
              <w:ind w:left="851" w:hanging="284"/>
              <w:rPr>
                <w:rFonts w:ascii="New York" w:hAnsi="New York"/>
              </w:rPr>
            </w:pPr>
            <w:r>
              <w:rPr>
                <w:rFonts w:hint="eastAsia" w:ascii="New York" w:hAnsi="New York"/>
              </w:rPr>
              <w:t>-</w:t>
            </w:r>
            <w:r>
              <w:rPr>
                <w:rFonts w:hint="eastAsia" w:ascii="New York" w:hAnsi="New York"/>
              </w:rPr>
              <w:tab/>
            </w:r>
            <w:r>
              <w:rPr>
                <w:rFonts w:hint="eastAsia" w:ascii="New York" w:hAnsi="New York"/>
              </w:rPr>
              <w:t xml:space="preserve">starts at least </w:t>
            </w:r>
            <m:oMath>
              <m:sSub>
                <m:sSubPr>
                  <m:ctrlPr>
                    <w:rPr>
                      <w:rFonts w:hint="eastAsia" w:ascii="Cambria Math" w:hAnsi="Cambria Math"/>
                      <w:i/>
                    </w:rPr>
                  </m:ctrlPr>
                </m:sSubPr>
                <m:e>
                  <m:r>
                    <w:rPr>
                      <w:rFonts w:hint="eastAsia" w:ascii="Cambria Math" w:hAnsi="Cambria Math"/>
                    </w:rPr>
                    <m:t>N</m:t>
                  </m:r>
                  <m:ctrlPr>
                    <w:rPr>
                      <w:rFonts w:hint="eastAsia" w:ascii="Cambria Math" w:hAnsi="Cambria Math"/>
                      <w:i/>
                    </w:rPr>
                  </m:ctrlPr>
                </m:e>
                <m:sub>
                  <m:r>
                    <m:rPr>
                      <m:nor/>
                      <m:sty m:val="p"/>
                    </m:rPr>
                    <w:rPr>
                      <w:rFonts w:hint="eastAsia" w:ascii="New York" w:hAnsi="New York"/>
                      <w:b w:val="0"/>
                      <w:i w:val="0"/>
                    </w:rPr>
                    <m:t>gap</m:t>
                  </m:r>
                  <m:ctrlPr>
                    <w:rPr>
                      <w:rFonts w:hint="eastAsia" w:ascii="Cambria Math" w:hAnsi="Cambria Math"/>
                    </w:rPr>
                  </m:ctrlPr>
                </m:sub>
              </m:sSub>
            </m:oMath>
            <w:r>
              <w:rPr>
                <w:rFonts w:hint="eastAsia" w:ascii="New York" w:hAnsi="New York"/>
              </w:rPr>
              <w:t xml:space="preserve"> symbols after a last SS/PBCH block symbol, where </w:t>
            </w:r>
            <m:oMath>
              <m:sSub>
                <m:sSubPr>
                  <m:ctrlPr>
                    <w:rPr>
                      <w:rFonts w:hint="eastAsia" w:ascii="Cambria Math" w:hAnsi="Cambria Math"/>
                      <w:i/>
                    </w:rPr>
                  </m:ctrlPr>
                </m:sSubPr>
                <m:e>
                  <m:r>
                    <w:rPr>
                      <w:rFonts w:hint="eastAsia" w:ascii="Cambria Math" w:hAnsi="Cambria Math"/>
                    </w:rPr>
                    <m:t>N</m:t>
                  </m:r>
                  <m:ctrlPr>
                    <w:rPr>
                      <w:rFonts w:hint="eastAsia" w:ascii="Cambria Math" w:hAnsi="Cambria Math"/>
                      <w:i/>
                    </w:rPr>
                  </m:ctrlPr>
                </m:e>
                <m:sub>
                  <m:r>
                    <m:rPr>
                      <m:nor/>
                      <m:sty m:val="p"/>
                    </m:rPr>
                    <w:rPr>
                      <w:rFonts w:hint="eastAsia" w:ascii="New York" w:hAnsi="New York"/>
                      <w:b w:val="0"/>
                      <w:i w:val="0"/>
                    </w:rPr>
                    <m:t>gap</m:t>
                  </m:r>
                  <m:ctrlPr>
                    <w:rPr>
                      <w:rFonts w:hint="eastAsia" w:ascii="Cambria Math" w:hAnsi="Cambria Math"/>
                    </w:rPr>
                  </m:ctrlPr>
                </m:sub>
              </m:sSub>
            </m:oMath>
            <w:r>
              <w:rPr>
                <w:rFonts w:hint="eastAsia" w:ascii="New York" w:hAnsi="New York"/>
              </w:rPr>
              <w:t xml:space="preserve"> is provided in Table 8.1-2</w:t>
            </w:r>
          </w:p>
          <w:p>
            <w:pPr>
              <w:spacing w:before="120" w:line="280" w:lineRule="atLeast"/>
              <w:ind w:left="568" w:hanging="284"/>
              <w:rPr>
                <w:rFonts w:ascii="New York" w:hAnsi="New York"/>
              </w:rPr>
            </w:pPr>
            <w:r>
              <w:rPr>
                <w:rFonts w:hint="eastAsia" w:ascii="New York" w:hAnsi="New York"/>
              </w:rPr>
              <w:t>-</w:t>
            </w:r>
            <w:r>
              <w:rPr>
                <w:rFonts w:hint="eastAsia" w:ascii="New York" w:hAnsi="New York"/>
              </w:rPr>
              <w:tab/>
            </w:r>
            <w:r>
              <w:rPr>
                <w:rFonts w:hint="eastAsia" w:ascii="New York" w:hAnsi="New York"/>
                <w:lang w:eastAsia="zh-CN"/>
              </w:rPr>
              <w:t xml:space="preserve">if a UE is provided </w:t>
            </w:r>
            <w:r>
              <w:rPr>
                <w:rFonts w:hint="eastAsia" w:ascii="New York" w:hAnsi="New York"/>
                <w:i/>
              </w:rPr>
              <w:t>tdd-UL-DL-ConfigurationCommon</w:t>
            </w:r>
            <w:r>
              <w:rPr>
                <w:rFonts w:hint="eastAsia" w:ascii="New York" w:hAnsi="New York"/>
              </w:rPr>
              <w:t>, a PUSCH occasion is valid if the PUSCH occasion</w:t>
            </w:r>
          </w:p>
          <w:p>
            <w:pPr>
              <w:spacing w:before="120" w:line="280" w:lineRule="atLeast"/>
              <w:ind w:left="851" w:hanging="284"/>
              <w:rPr>
                <w:rFonts w:ascii="New York" w:hAnsi="New York"/>
              </w:rPr>
            </w:pPr>
            <w:r>
              <w:rPr>
                <w:rFonts w:hint="eastAsia" w:ascii="New York" w:hAnsi="New York"/>
              </w:rPr>
              <w:t>-</w:t>
            </w:r>
            <w:r>
              <w:rPr>
                <w:rFonts w:hint="eastAsia" w:ascii="New York" w:hAnsi="New York"/>
              </w:rPr>
              <w:tab/>
            </w:r>
            <w:r>
              <w:rPr>
                <w:rFonts w:hint="eastAsia" w:ascii="New York" w:hAnsi="New York"/>
              </w:rPr>
              <w:t>is within UL symbols</w:t>
            </w:r>
          </w:p>
          <w:p>
            <w:pPr>
              <w:spacing w:before="120" w:line="280" w:lineRule="atLeast"/>
              <w:ind w:left="851" w:hanging="284"/>
              <w:rPr>
                <w:rFonts w:ascii="New York" w:hAnsi="New York"/>
                <w:lang w:eastAsia="zh-CN"/>
              </w:rPr>
            </w:pPr>
            <w:r>
              <w:rPr>
                <w:rFonts w:hint="eastAsia" w:ascii="New York" w:hAnsi="New York"/>
              </w:rPr>
              <w:t>-</w:t>
            </w:r>
            <w:r>
              <w:rPr>
                <w:rFonts w:hint="eastAsia" w:ascii="New York" w:hAnsi="New York"/>
              </w:rPr>
              <w:tab/>
            </w:r>
            <w:r>
              <w:rPr>
                <w:rFonts w:hint="eastAsia" w:ascii="New York" w:hAnsi="New York"/>
              </w:rPr>
              <w:t xml:space="preserve">starts at least </w:t>
            </w:r>
            <m:oMath>
              <m:sSub>
                <m:sSubPr>
                  <m:ctrlPr>
                    <w:rPr>
                      <w:rFonts w:hint="eastAsia" w:ascii="Cambria Math" w:hAnsi="Cambria Math"/>
                      <w:i/>
                    </w:rPr>
                  </m:ctrlPr>
                </m:sSubPr>
                <m:e>
                  <m:r>
                    <w:rPr>
                      <w:rFonts w:hint="eastAsia" w:ascii="Cambria Math" w:hAnsi="Cambria Math"/>
                    </w:rPr>
                    <m:t>N</m:t>
                  </m:r>
                  <m:ctrlPr>
                    <w:rPr>
                      <w:rFonts w:hint="eastAsia" w:ascii="Cambria Math" w:hAnsi="Cambria Math"/>
                      <w:i/>
                    </w:rPr>
                  </m:ctrlPr>
                </m:e>
                <m:sub>
                  <m:r>
                    <m:rPr>
                      <m:nor/>
                      <m:sty m:val="p"/>
                    </m:rPr>
                    <w:rPr>
                      <w:rFonts w:hint="eastAsia" w:ascii="New York" w:hAnsi="New York"/>
                      <w:b w:val="0"/>
                      <w:i w:val="0"/>
                    </w:rPr>
                    <m:t>gap</m:t>
                  </m:r>
                  <m:ctrlPr>
                    <w:rPr>
                      <w:rFonts w:hint="eastAsia" w:ascii="Cambria Math" w:hAnsi="Cambria Math"/>
                    </w:rPr>
                  </m:ctrlPr>
                </m:sub>
              </m:sSub>
            </m:oMath>
            <w:r>
              <w:rPr>
                <w:rFonts w:hint="eastAsia" w:ascii="New York" w:hAnsi="New York"/>
              </w:rPr>
              <w:t xml:space="preserve"> symbols after a last downlink symbol, and at least </w:t>
            </w:r>
            <m:oMath>
              <m:sSub>
                <m:sSubPr>
                  <m:ctrlPr>
                    <w:rPr>
                      <w:rFonts w:hint="eastAsia" w:ascii="Cambria Math" w:hAnsi="Cambria Math"/>
                      <w:i/>
                    </w:rPr>
                  </m:ctrlPr>
                </m:sSubPr>
                <m:e>
                  <m:r>
                    <w:rPr>
                      <w:rFonts w:hint="eastAsia" w:ascii="Cambria Math" w:hAnsi="Cambria Math"/>
                    </w:rPr>
                    <m:t>N</m:t>
                  </m:r>
                  <m:ctrlPr>
                    <w:rPr>
                      <w:rFonts w:hint="eastAsia" w:ascii="Cambria Math" w:hAnsi="Cambria Math"/>
                      <w:i/>
                    </w:rPr>
                  </m:ctrlPr>
                </m:e>
                <m:sub>
                  <m:r>
                    <m:rPr>
                      <m:nor/>
                      <m:sty m:val="p"/>
                    </m:rPr>
                    <w:rPr>
                      <w:rFonts w:hint="eastAsia" w:ascii="New York" w:hAnsi="New York"/>
                      <w:b w:val="0"/>
                      <w:i w:val="0"/>
                    </w:rPr>
                    <m:t>gap</m:t>
                  </m:r>
                  <m:ctrlPr>
                    <w:rPr>
                      <w:rFonts w:hint="eastAsia" w:ascii="Cambria Math" w:hAnsi="Cambria Math"/>
                    </w:rPr>
                  </m:ctrlPr>
                </m:sub>
              </m:sSub>
            </m:oMath>
            <w:r>
              <w:rPr>
                <w:rFonts w:hint="eastAsia" w:ascii="New York" w:hAnsi="New York"/>
              </w:rPr>
              <w:t xml:space="preserve"> symbols after a last SS/PBCH block symbol, where </w:t>
            </w:r>
            <m:oMath>
              <m:sSub>
                <m:sSubPr>
                  <m:ctrlPr>
                    <w:rPr>
                      <w:rFonts w:hint="eastAsia" w:ascii="Cambria Math" w:hAnsi="Cambria Math"/>
                      <w:i/>
                    </w:rPr>
                  </m:ctrlPr>
                </m:sSubPr>
                <m:e>
                  <m:r>
                    <w:rPr>
                      <w:rFonts w:hint="eastAsia" w:ascii="Cambria Math" w:hAnsi="Cambria Math"/>
                    </w:rPr>
                    <m:t>N</m:t>
                  </m:r>
                  <m:ctrlPr>
                    <w:rPr>
                      <w:rFonts w:hint="eastAsia" w:ascii="Cambria Math" w:hAnsi="Cambria Math"/>
                      <w:i/>
                    </w:rPr>
                  </m:ctrlPr>
                </m:e>
                <m:sub>
                  <m:r>
                    <m:rPr>
                      <m:nor/>
                      <m:sty m:val="p"/>
                    </m:rPr>
                    <w:rPr>
                      <w:rFonts w:hint="eastAsia" w:ascii="New York" w:hAnsi="New York"/>
                      <w:b w:val="0"/>
                      <w:i w:val="0"/>
                    </w:rPr>
                    <m:t>gap</m:t>
                  </m:r>
                  <m:ctrlPr>
                    <w:rPr>
                      <w:rFonts w:hint="eastAsia" w:ascii="Cambria Math" w:hAnsi="Cambria Math"/>
                    </w:rPr>
                  </m:ctrlPr>
                </m:sub>
              </m:sSub>
            </m:oMath>
            <w:r>
              <w:rPr>
                <w:rFonts w:hint="eastAsia" w:ascii="New York" w:hAnsi="New York"/>
              </w:rPr>
              <w:t xml:space="preserve"> is provided in Table 8.1-2</w:t>
            </w:r>
          </w:p>
        </w:tc>
      </w:tr>
    </w:tbl>
    <w:p>
      <w:pPr>
        <w:rPr>
          <w:lang w:eastAsia="zh-CN"/>
        </w:rPr>
      </w:pPr>
      <w:r>
        <w:rPr>
          <w:rFonts w:hint="eastAsia"/>
          <w:lang w:eastAsia="zh-CN"/>
        </w:rPr>
        <w:t xml:space="preserve">For the SDT procedure in </w:t>
      </w:r>
      <w:r>
        <w:rPr>
          <w:lang w:eastAsia="zh-CN"/>
        </w:rPr>
        <w:t xml:space="preserve">RRC </w:t>
      </w:r>
      <w:r>
        <w:rPr>
          <w:rFonts w:hint="eastAsia"/>
          <w:lang w:eastAsia="zh-CN"/>
        </w:rPr>
        <w:t>inactive state, NCD-SSB would not be configured for the UE. Therefore, there is no need to modify the spec for SDT in inactive state.</w:t>
      </w:r>
    </w:p>
    <w:p>
      <w:pPr>
        <w:rPr>
          <w:lang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lang w:eastAsia="zh-CN"/>
              </w:rPr>
            </w:pPr>
            <w:r>
              <w:rPr>
                <w:rFonts w:hint="eastAsia" w:ascii="New York" w:hAnsi="New York"/>
                <w:lang w:eastAsia="zh-CN"/>
              </w:rPr>
              <w:t>TS38.214 clause 6.1.2.1</w:t>
            </w:r>
          </w:p>
          <w:p>
            <w:pPr>
              <w:overflowPunct/>
              <w:autoSpaceDE/>
              <w:autoSpaceDN/>
              <w:adjustRightInd/>
              <w:spacing w:before="120" w:line="280" w:lineRule="atLeast"/>
              <w:jc w:val="left"/>
              <w:textAlignment w:val="auto"/>
              <w:rPr>
                <w:rFonts w:ascii="New York" w:hAnsi="New York"/>
                <w:lang w:val="en-GB"/>
              </w:rPr>
            </w:pPr>
            <w:r>
              <w:rPr>
                <w:rFonts w:hint="eastAsia" w:ascii="New York" w:hAnsi="New York"/>
                <w:lang w:val="en-GB"/>
              </w:rPr>
              <w:t>For PUSCH repetition Type B, the UE determines invalid symbol(s) for PUSCH repetition Type B transmission as follows:</w:t>
            </w:r>
          </w:p>
          <w:p>
            <w:pPr>
              <w:spacing w:before="120" w:line="280" w:lineRule="atLeast"/>
              <w:ind w:left="568" w:hanging="284"/>
              <w:rPr>
                <w:rFonts w:ascii="New York" w:hAnsi="New York"/>
                <w:color w:val="000000"/>
              </w:rPr>
            </w:pPr>
            <w:r>
              <w:rPr>
                <w:rFonts w:hint="eastAsia" w:ascii="New York" w:hAnsi="New York"/>
              </w:rPr>
              <w:t>-</w:t>
            </w:r>
            <w:r>
              <w:rPr>
                <w:rFonts w:hint="eastAsia" w:ascii="New York" w:hAnsi="New York"/>
              </w:rPr>
              <w:tab/>
            </w:r>
            <w:r>
              <w:rPr>
                <w:rFonts w:hint="eastAsia" w:ascii="New York" w:hAnsi="New York"/>
              </w:rPr>
              <w:t xml:space="preserve">A symbol that is indicated as downlink by </w:t>
            </w:r>
            <w:r>
              <w:rPr>
                <w:rFonts w:hint="eastAsia" w:ascii="New York" w:hAnsi="New York"/>
                <w:i/>
              </w:rPr>
              <w:t xml:space="preserve">tdd-UL-DL-ConfigurationCommon </w:t>
            </w:r>
            <w:r>
              <w:rPr>
                <w:rFonts w:hint="eastAsia" w:ascii="New York" w:hAnsi="New York"/>
              </w:rPr>
              <w:t xml:space="preserve">or </w:t>
            </w:r>
            <w:r>
              <w:rPr>
                <w:rFonts w:hint="eastAsia" w:ascii="New York" w:hAnsi="New York"/>
                <w:i/>
              </w:rPr>
              <w:t xml:space="preserve">tdd-UL-DL-ConfigurationDedicated </w:t>
            </w:r>
            <w:r>
              <w:rPr>
                <w:rFonts w:hint="eastAsia" w:ascii="New York" w:hAnsi="New York"/>
              </w:rPr>
              <w:t xml:space="preserve">is considered as an invalid symbol for </w:t>
            </w:r>
            <w:r>
              <w:rPr>
                <w:rFonts w:hint="eastAsia" w:ascii="New York" w:hAnsi="New York"/>
                <w:color w:val="000000"/>
              </w:rPr>
              <w:t xml:space="preserve">PUSCH repetition Type B transmission. </w:t>
            </w:r>
          </w:p>
          <w:p>
            <w:pPr>
              <w:spacing w:before="120" w:line="280" w:lineRule="atLeast"/>
              <w:ind w:left="568" w:hanging="284"/>
              <w:rPr>
                <w:rFonts w:ascii="New York" w:hAnsi="New York"/>
              </w:rPr>
            </w:pPr>
            <w:r>
              <w:rPr>
                <w:rFonts w:hint="eastAsia" w:ascii="New York" w:hAnsi="New York"/>
              </w:rPr>
              <w:t>-</w:t>
            </w:r>
            <w:r>
              <w:rPr>
                <w:rFonts w:hint="eastAsia" w:ascii="New York" w:hAnsi="New York"/>
              </w:rPr>
              <w:tab/>
            </w:r>
            <w:r>
              <w:rPr>
                <w:rFonts w:hint="eastAsia" w:ascii="New York" w:hAnsi="New York"/>
              </w:rPr>
              <w:t xml:space="preserve">For operation in unpaired spectrum, symbols indicated by </w:t>
            </w:r>
            <w:r>
              <w:rPr>
                <w:rFonts w:hint="eastAsia" w:ascii="New York" w:hAnsi="New York"/>
                <w:i/>
                <w:iCs/>
                <w:highlight w:val="yellow"/>
              </w:rPr>
              <w:t>ssb-PositionsInBurst</w:t>
            </w:r>
            <w:r>
              <w:rPr>
                <w:rFonts w:hint="eastAsia" w:ascii="New York" w:hAnsi="New York"/>
                <w:highlight w:val="yellow"/>
              </w:rPr>
              <w:t xml:space="preserve"> in SIB1</w:t>
            </w:r>
            <w:r>
              <w:rPr>
                <w:rFonts w:hint="eastAsia" w:ascii="New York" w:hAnsi="New York"/>
              </w:rPr>
              <w:t xml:space="preserve"> or </w:t>
            </w:r>
            <w:r>
              <w:rPr>
                <w:rFonts w:hint="eastAsia" w:ascii="New York" w:hAnsi="New York"/>
                <w:i/>
                <w:iCs/>
              </w:rPr>
              <w:t>ssb-PositionsInBurst</w:t>
            </w:r>
            <w:r>
              <w:rPr>
                <w:rFonts w:hint="eastAsia" w:ascii="New York" w:hAnsi="New York"/>
              </w:rPr>
              <w:t xml:space="preserve"> in </w:t>
            </w:r>
            <w:r>
              <w:rPr>
                <w:rFonts w:hint="eastAsia" w:ascii="New York" w:hAnsi="New York"/>
                <w:i/>
                <w:iCs/>
              </w:rPr>
              <w:t>ServingCellConfigCommon</w:t>
            </w:r>
            <w:r>
              <w:rPr>
                <w:rFonts w:hint="eastAsia" w:ascii="New York" w:hAnsi="New York"/>
              </w:rPr>
              <w:t xml:space="preserve"> for reception of SS/PBCH blocks are considered as invalid symbols for PUSCH repetition Type B transmission.</w:t>
            </w:r>
          </w:p>
          <w:p>
            <w:pPr>
              <w:spacing w:before="120" w:line="280" w:lineRule="atLeast"/>
              <w:ind w:left="568" w:hanging="284"/>
              <w:rPr>
                <w:rFonts w:ascii="New York" w:hAnsi="New York"/>
              </w:rPr>
            </w:pPr>
            <w:r>
              <w:rPr>
                <w:rFonts w:hint="eastAsia" w:ascii="New York" w:hAnsi="New York"/>
              </w:rPr>
              <w:t>-</w:t>
            </w:r>
            <w:r>
              <w:rPr>
                <w:rFonts w:hint="eastAsia" w:ascii="New York" w:hAnsi="New York"/>
              </w:rPr>
              <w:tab/>
            </w:r>
            <w:r>
              <w:rPr>
                <w:rFonts w:hint="eastAsia" w:ascii="New York" w:hAnsi="New York"/>
              </w:rPr>
              <w:t xml:space="preserve">For a reduced capability half-duplex UE in paired spectrum and for PUSCH repetition Type B transmission, symbols indicated by </w:t>
            </w:r>
            <w:r>
              <w:rPr>
                <w:rFonts w:hint="eastAsia" w:ascii="New York" w:hAnsi="New York"/>
                <w:i/>
                <w:iCs/>
                <w:highlight w:val="yellow"/>
              </w:rPr>
              <w:t>ssb-PositionsInBurst</w:t>
            </w:r>
            <w:r>
              <w:rPr>
                <w:rFonts w:hint="eastAsia" w:ascii="New York" w:hAnsi="New York"/>
                <w:highlight w:val="yellow"/>
              </w:rPr>
              <w:t xml:space="preserve"> in SIB1</w:t>
            </w:r>
            <w:r>
              <w:rPr>
                <w:rFonts w:hint="eastAsia" w:ascii="New York" w:hAnsi="New York"/>
              </w:rPr>
              <w:t xml:space="preserve"> or </w:t>
            </w:r>
            <w:r>
              <w:rPr>
                <w:rFonts w:hint="eastAsia" w:ascii="New York" w:hAnsi="New York"/>
                <w:i/>
                <w:iCs/>
              </w:rPr>
              <w:t>ssb-PositionsInBurst</w:t>
            </w:r>
            <w:r>
              <w:rPr>
                <w:rFonts w:hint="eastAsia" w:ascii="New York" w:hAnsi="New York"/>
              </w:rPr>
              <w:t xml:space="preserve"> in </w:t>
            </w:r>
            <w:r>
              <w:rPr>
                <w:rFonts w:hint="eastAsia" w:ascii="New York" w:hAnsi="New York"/>
                <w:i/>
                <w:iCs/>
              </w:rPr>
              <w:t>ServingCellConfigCommon</w:t>
            </w:r>
            <w:r>
              <w:rPr>
                <w:rFonts w:hint="eastAsia" w:ascii="New York" w:hAnsi="New York"/>
              </w:rPr>
              <w:t xml:space="preserve"> for reception of SS/PBCH blocks are considered as invalid symbols for PUSCH repetition Type B transmission.</w:t>
            </w:r>
          </w:p>
          <w:p>
            <w:pPr>
              <w:spacing w:before="120" w:line="280" w:lineRule="atLeast"/>
              <w:rPr>
                <w:rFonts w:ascii="New York" w:hAnsi="New York"/>
                <w:lang w:eastAsia="zh-CN"/>
              </w:rPr>
            </w:pPr>
            <w:r>
              <w:rPr>
                <w:rFonts w:hint="eastAsia" w:ascii="New York" w:hAnsi="New York"/>
                <w:lang w:eastAsia="zh-CN"/>
              </w:rPr>
              <w:t>......</w:t>
            </w:r>
          </w:p>
          <w:p>
            <w:pPr>
              <w:overflowPunct/>
              <w:autoSpaceDE/>
              <w:autoSpaceDN/>
              <w:adjustRightInd/>
              <w:spacing w:before="120" w:line="280" w:lineRule="atLeast"/>
              <w:jc w:val="left"/>
              <w:textAlignment w:val="auto"/>
              <w:rPr>
                <w:rFonts w:ascii="New York" w:hAnsi="New York"/>
                <w:lang w:val="en-GB"/>
              </w:rPr>
            </w:pPr>
            <w:r>
              <w:rPr>
                <w:rFonts w:hint="eastAsia" w:ascii="New York" w:hAnsi="New York"/>
                <w:lang w:eastAsia="zh-CN"/>
              </w:rPr>
              <w:tab/>
            </w:r>
            <w:r>
              <w:rPr>
                <w:rFonts w:hint="eastAsia" w:ascii="New York" w:hAnsi="New York"/>
                <w:lang w:val="en-GB"/>
              </w:rPr>
              <w:t>For PUSCH repetition Type B, the UE determines invalid symbol(s) for PUSCH repetition Type B transmission as follows:</w:t>
            </w:r>
          </w:p>
          <w:p>
            <w:pPr>
              <w:tabs>
                <w:tab w:val="left" w:pos="704"/>
              </w:tabs>
              <w:spacing w:before="120" w:line="280" w:lineRule="atLeast"/>
              <w:rPr>
                <w:rFonts w:ascii="New York" w:hAnsi="New York"/>
                <w:lang w:eastAsia="zh-CN"/>
              </w:rPr>
            </w:pPr>
            <w:r>
              <w:rPr>
                <w:rFonts w:hint="eastAsia" w:ascii="New York" w:hAnsi="New York"/>
                <w:lang w:eastAsia="zh-CN"/>
              </w:rPr>
              <w:t>.....</w:t>
            </w:r>
          </w:p>
          <w:p>
            <w:pPr>
              <w:spacing w:before="120" w:line="280" w:lineRule="atLeast"/>
              <w:ind w:left="568" w:hanging="284"/>
              <w:rPr>
                <w:rFonts w:ascii="New York" w:hAnsi="New York"/>
              </w:rPr>
            </w:pPr>
            <w:r>
              <w:rPr>
                <w:rFonts w:hint="eastAsia" w:ascii="New York" w:hAnsi="New York"/>
              </w:rPr>
              <w:t>-</w:t>
            </w:r>
            <w:r>
              <w:rPr>
                <w:rFonts w:hint="eastAsia" w:ascii="New York" w:hAnsi="New York"/>
              </w:rPr>
              <w:tab/>
            </w:r>
            <w:r>
              <w:rPr>
                <w:rFonts w:hint="eastAsia" w:ascii="New York" w:hAnsi="New York"/>
              </w:rPr>
              <w:t xml:space="preserve">If the UE </w:t>
            </w:r>
          </w:p>
          <w:p>
            <w:pPr>
              <w:spacing w:before="120" w:line="280" w:lineRule="atLeast"/>
              <w:ind w:left="851" w:hanging="284"/>
              <w:rPr>
                <w:rFonts w:ascii="New York" w:hAnsi="New York"/>
              </w:rPr>
            </w:pPr>
            <w:r>
              <w:rPr>
                <w:rFonts w:hint="eastAsia" w:ascii="New York" w:hAnsi="New York"/>
              </w:rPr>
              <w:t>-</w:t>
            </w:r>
            <w:r>
              <w:rPr>
                <w:rFonts w:hint="eastAsia" w:ascii="New York" w:hAnsi="New York"/>
              </w:rPr>
              <w:tab/>
            </w:r>
            <w:r>
              <w:rPr>
                <w:rFonts w:hint="eastAsia" w:ascii="New York" w:hAnsi="New York"/>
              </w:rPr>
              <w:t xml:space="preserve">is configured with multiple serving cells </w:t>
            </w:r>
            <w:r>
              <w:rPr>
                <w:rFonts w:hint="eastAsia" w:ascii="New York" w:hAnsi="New York"/>
                <w:lang w:eastAsia="zh-CN"/>
              </w:rPr>
              <w:t>within a cell group</w:t>
            </w:r>
            <w:r>
              <w:rPr>
                <w:rFonts w:hint="eastAsia" w:ascii="New York" w:hAnsi="New York"/>
              </w:rPr>
              <w:t xml:space="preserve"> and is provided with </w:t>
            </w:r>
            <w:r>
              <w:rPr>
                <w:rFonts w:hint="eastAsia" w:ascii="New York" w:hAnsi="New York"/>
                <w:i/>
                <w:iCs/>
              </w:rPr>
              <w:t xml:space="preserve">directionalCollisionHandling-r16 </w:t>
            </w:r>
            <w:r>
              <w:rPr>
                <w:rFonts w:hint="eastAsia" w:ascii="New York" w:hAnsi="New York"/>
              </w:rPr>
              <w:t>= 'enable</w:t>
            </w:r>
            <w:r>
              <w:rPr>
                <w:rFonts w:hint="eastAsia" w:ascii="New York" w:hAnsi="New York"/>
                <w:lang w:val="en-GB"/>
              </w:rPr>
              <w:t>d</w:t>
            </w:r>
            <w:r>
              <w:rPr>
                <w:rFonts w:hint="eastAsia" w:ascii="New York" w:hAnsi="New York"/>
              </w:rPr>
              <w:t>'</w:t>
            </w:r>
            <w:r>
              <w:rPr>
                <w:rFonts w:hint="eastAsia" w:ascii="New York" w:hAnsi="New York"/>
                <w:lang w:val="en-GB"/>
              </w:rPr>
              <w:t xml:space="preserve"> </w:t>
            </w:r>
            <w:r>
              <w:rPr>
                <w:rFonts w:hint="eastAsia" w:ascii="New York" w:hAnsi="New York"/>
              </w:rPr>
              <w:t>for a set of serving cell(s) among the multiple serving cells, and</w:t>
            </w:r>
          </w:p>
          <w:p>
            <w:pPr>
              <w:spacing w:before="120" w:line="280" w:lineRule="atLeast"/>
              <w:ind w:left="851" w:hanging="284"/>
              <w:rPr>
                <w:rFonts w:ascii="New York" w:hAnsi="New York"/>
              </w:rPr>
            </w:pPr>
            <w:r>
              <w:rPr>
                <w:rFonts w:hint="eastAsia" w:ascii="New York" w:hAnsi="New York"/>
              </w:rPr>
              <w:t>-</w:t>
            </w:r>
            <w:r>
              <w:rPr>
                <w:rFonts w:hint="eastAsia" w:ascii="New York" w:hAnsi="New York"/>
              </w:rPr>
              <w:tab/>
            </w:r>
            <w:r>
              <w:rPr>
                <w:rFonts w:hint="eastAsia" w:ascii="New York" w:hAnsi="New York"/>
              </w:rPr>
              <w:t xml:space="preserve">indicates support of </w:t>
            </w:r>
            <w:r>
              <w:rPr>
                <w:rFonts w:hint="eastAsia" w:ascii="New York" w:hAnsi="New York"/>
                <w:i/>
              </w:rPr>
              <w:t>half-DuplexTDD-CA-SameSCS-r16</w:t>
            </w:r>
            <w:r>
              <w:rPr>
                <w:rFonts w:hint="eastAsia" w:ascii="New York" w:hAnsi="New York"/>
              </w:rPr>
              <w:t xml:space="preserve"> capability, and</w:t>
            </w:r>
          </w:p>
          <w:p>
            <w:pPr>
              <w:spacing w:before="120" w:line="280" w:lineRule="atLeast"/>
              <w:ind w:left="851" w:hanging="284"/>
              <w:rPr>
                <w:rFonts w:ascii="New York" w:hAnsi="New York"/>
              </w:rPr>
            </w:pPr>
            <w:r>
              <w:rPr>
                <w:rFonts w:hint="eastAsia" w:ascii="New York" w:hAnsi="New York"/>
              </w:rPr>
              <w:t>-</w:t>
            </w:r>
            <w:r>
              <w:rPr>
                <w:rFonts w:hint="eastAsia" w:ascii="New York" w:hAnsi="New York"/>
              </w:rPr>
              <w:tab/>
            </w:r>
            <w:r>
              <w:rPr>
                <w:rFonts w:hint="eastAsia" w:ascii="New York" w:hAnsi="New York"/>
              </w:rPr>
              <w:t xml:space="preserve">is not configured to monitor PDCCH for detection of DCI format 2-0 on any of the multiple serving cells, </w:t>
            </w:r>
          </w:p>
          <w:p>
            <w:pPr>
              <w:spacing w:before="120" w:line="280" w:lineRule="atLeast"/>
              <w:ind w:left="1135" w:hanging="284"/>
              <w:rPr>
                <w:rFonts w:ascii="New York" w:hAnsi="New York"/>
                <w:iCs/>
              </w:rPr>
            </w:pPr>
            <w:r>
              <w:rPr>
                <w:rFonts w:hint="eastAsia" w:ascii="New York" w:hAnsi="New York"/>
              </w:rPr>
              <w:t>-</w:t>
            </w:r>
            <w:r>
              <w:rPr>
                <w:rFonts w:hint="eastAsia" w:ascii="New York" w:hAnsi="New York"/>
              </w:rPr>
              <w:tab/>
            </w:r>
            <w:r>
              <w:rPr>
                <w:rFonts w:hint="eastAsia" w:ascii="New York" w:hAnsi="New York"/>
              </w:rPr>
              <w:t xml:space="preserve">a symbol indicated to the UE for reception of SS/PBCH blocks in a first cell of the multiple serving cells by </w:t>
            </w:r>
            <w:r>
              <w:rPr>
                <w:rFonts w:hint="eastAsia" w:ascii="New York" w:hAnsi="New York"/>
                <w:i/>
                <w:iCs/>
                <w:highlight w:val="yellow"/>
              </w:rPr>
              <w:t>ssb-PositionsInBurst</w:t>
            </w:r>
            <w:r>
              <w:rPr>
                <w:rFonts w:hint="eastAsia" w:ascii="New York" w:hAnsi="New York"/>
                <w:highlight w:val="yellow"/>
              </w:rPr>
              <w:t xml:space="preserve"> in </w:t>
            </w:r>
            <w:r>
              <w:rPr>
                <w:rFonts w:hint="eastAsia" w:ascii="New York" w:hAnsi="New York"/>
                <w:i/>
                <w:iCs/>
                <w:highlight w:val="yellow"/>
              </w:rPr>
              <w:t>SIB1</w:t>
            </w:r>
            <w:r>
              <w:rPr>
                <w:rFonts w:hint="eastAsia" w:ascii="New York" w:hAnsi="New York"/>
              </w:rPr>
              <w:t xml:space="preserve"> or </w:t>
            </w:r>
            <w:r>
              <w:rPr>
                <w:rFonts w:hint="eastAsia" w:ascii="New York" w:hAnsi="New York"/>
                <w:i/>
                <w:iCs/>
              </w:rPr>
              <w:t>ssb-PositionsInBurst</w:t>
            </w:r>
            <w:r>
              <w:rPr>
                <w:rFonts w:hint="eastAsia" w:ascii="New York" w:hAnsi="New York"/>
              </w:rPr>
              <w:t xml:space="preserve"> in </w:t>
            </w:r>
            <w:r>
              <w:rPr>
                <w:rFonts w:hint="eastAsia" w:ascii="New York" w:hAnsi="New York"/>
                <w:i/>
                <w:iCs/>
              </w:rPr>
              <w:t>ServingCellConfigCommon</w:t>
            </w:r>
            <w:r>
              <w:rPr>
                <w:rFonts w:hint="eastAsia" w:ascii="New York" w:hAnsi="New York"/>
                <w:iCs/>
              </w:rPr>
              <w:t xml:space="preserve"> is considered as an invalid symbol for PUSCH repetition Type B transmission in</w:t>
            </w:r>
          </w:p>
          <w:p>
            <w:pPr>
              <w:spacing w:before="120" w:line="280" w:lineRule="atLeast"/>
              <w:ind w:left="1418" w:hanging="284"/>
              <w:rPr>
                <w:rFonts w:ascii="New York" w:hAnsi="New York"/>
                <w:lang w:val="en-GB"/>
              </w:rPr>
            </w:pPr>
            <w:r>
              <w:rPr>
                <w:rFonts w:hint="eastAsia" w:ascii="New York" w:hAnsi="New York"/>
                <w:lang w:val="en-GB"/>
              </w:rPr>
              <w:t>-</w:t>
            </w:r>
            <w:r>
              <w:rPr>
                <w:rFonts w:hint="eastAsia" w:ascii="New York" w:hAnsi="New York"/>
                <w:lang w:val="en-GB"/>
              </w:rPr>
              <w:tab/>
            </w:r>
            <w:r>
              <w:rPr>
                <w:rFonts w:hint="eastAsia" w:ascii="New York" w:hAnsi="New York"/>
                <w:lang w:val="en-GB"/>
              </w:rPr>
              <w:t xml:space="preserve">any of the multiple serving cells if the UE is not capable of simultaneous transmission and reception as indicated by </w:t>
            </w:r>
            <w:r>
              <w:rPr>
                <w:rFonts w:hint="eastAsia" w:ascii="New York" w:hAnsi="New York"/>
                <w:i/>
                <w:lang w:val="en-GB"/>
              </w:rPr>
              <w:t>simultaneousRxTxInterBandCA</w:t>
            </w:r>
            <w:r>
              <w:rPr>
                <w:rFonts w:hint="eastAsia" w:ascii="New York" w:hAnsi="New York"/>
                <w:lang w:val="en-GB"/>
              </w:rPr>
              <w:t xml:space="preserve"> among the multiple serving cells, and</w:t>
            </w:r>
          </w:p>
          <w:p>
            <w:pPr>
              <w:spacing w:before="120" w:line="280" w:lineRule="atLeast"/>
              <w:ind w:left="1418" w:hanging="284"/>
              <w:rPr>
                <w:rFonts w:ascii="New York" w:hAnsi="New York"/>
                <w:lang w:eastAsia="zh-CN"/>
              </w:rPr>
            </w:pPr>
            <w:r>
              <w:rPr>
                <w:rFonts w:hint="eastAsia" w:ascii="New York" w:hAnsi="New York"/>
                <w:lang w:val="en-GB"/>
              </w:rPr>
              <w:t>-</w:t>
            </w:r>
            <w:r>
              <w:rPr>
                <w:rFonts w:hint="eastAsia" w:ascii="New York" w:hAnsi="New York"/>
                <w:lang w:val="en-GB"/>
              </w:rPr>
              <w:tab/>
            </w:r>
            <w:r>
              <w:rPr>
                <w:rFonts w:hint="eastAsia" w:ascii="New York" w:hAnsi="New York"/>
                <w:lang w:val="en-GB"/>
              </w:rPr>
              <w:t xml:space="preserve">any one of the cells corresponding to the same band as the first cell, irrespective of any capability indicated by </w:t>
            </w:r>
            <w:r>
              <w:rPr>
                <w:rFonts w:hint="eastAsia" w:ascii="New York" w:hAnsi="New York"/>
                <w:i/>
                <w:lang w:val="en-GB"/>
              </w:rPr>
              <w:t>simultaneousRxTxInterBandCA</w:t>
            </w:r>
          </w:p>
        </w:tc>
      </w:tr>
    </w:tbl>
    <w:p>
      <w:pPr>
        <w:rPr>
          <w:lang w:eastAsia="zh-CN"/>
        </w:rPr>
      </w:pPr>
    </w:p>
    <w:p>
      <w:pPr>
        <w:rPr>
          <w:lang w:eastAsia="zh-CN"/>
        </w:rPr>
      </w:pPr>
      <w:r>
        <w:rPr>
          <w:rFonts w:hint="eastAsia"/>
          <w:lang w:eastAsia="zh-CN"/>
        </w:rPr>
        <w:t>In RAN #96 meeting, it was agreed that, before discussing the need to introduce NCD-SSB for non-RedCap UEs, the WG discussion on bwp-WithoutRestriction need</w:t>
      </w:r>
      <w:r>
        <w:rPr>
          <w:lang w:eastAsia="zh-CN"/>
        </w:rPr>
        <w:t>s</w:t>
      </w:r>
      <w:r>
        <w:rPr>
          <w:rFonts w:hint="eastAsia"/>
          <w:lang w:eastAsia="zh-CN"/>
        </w:rPr>
        <w:t xml:space="preserve"> to be concluded first, which is </w:t>
      </w:r>
      <w:r>
        <w:rPr>
          <w:lang w:eastAsia="zh-CN"/>
        </w:rPr>
        <w:t xml:space="preserve">captured in </w:t>
      </w:r>
      <w:r>
        <w:rPr>
          <w:rFonts w:hint="eastAsia"/>
          <w:lang w:eastAsia="zh-CN"/>
        </w:rPr>
        <w:t xml:space="preserve">the endorsed WF in RP-221870. From our perspective, whether </w:t>
      </w:r>
      <w:r>
        <w:rPr>
          <w:i/>
        </w:rPr>
        <w:t>NonCellDefiningSSB</w:t>
      </w:r>
      <w:r>
        <w:rPr>
          <w:rFonts w:hint="eastAsia"/>
          <w:i/>
          <w:lang w:eastAsia="zh-CN"/>
        </w:rPr>
        <w:t xml:space="preserve"> </w:t>
      </w:r>
      <w:r>
        <w:rPr>
          <w:rFonts w:hint="eastAsia"/>
          <w:lang w:eastAsia="zh-CN"/>
        </w:rPr>
        <w:t xml:space="preserve">is only used for RedCap UE, the update for the above </w:t>
      </w:r>
      <w:r>
        <w:rPr>
          <w:lang w:eastAsia="zh-CN"/>
        </w:rPr>
        <w:t>specifications</w:t>
      </w:r>
      <w:r>
        <w:rPr>
          <w:rFonts w:hint="eastAsia"/>
          <w:lang w:eastAsia="zh-CN"/>
        </w:rPr>
        <w:t xml:space="preserve"> can be considered. In another word, if non-RedCap UE supports NCD-SSB, the parameter </w:t>
      </w:r>
      <w:r>
        <w:rPr>
          <w:i/>
        </w:rPr>
        <w:t>NonCellDefiningSSB</w:t>
      </w:r>
      <w:r>
        <w:rPr>
          <w:rFonts w:hint="eastAsia"/>
          <w:i/>
          <w:lang w:eastAsia="zh-CN"/>
        </w:rPr>
        <w:t xml:space="preserve"> </w:t>
      </w:r>
      <w:r>
        <w:rPr>
          <w:rFonts w:hint="eastAsia"/>
          <w:lang w:eastAsia="zh-CN"/>
        </w:rPr>
        <w:t>is also valid for non-RedCap UE, otherwise, it is only valid for RedCap UE.</w:t>
      </w:r>
    </w:p>
    <w:p>
      <w:pPr>
        <w:rPr>
          <w:lang w:eastAsia="zh-CN"/>
        </w:rPr>
      </w:pPr>
      <w:r>
        <w:rPr>
          <w:rFonts w:hint="eastAsia"/>
          <w:lang w:eastAsia="zh-CN"/>
        </w:rPr>
        <w:t>By considering this, we have the following proposal</w:t>
      </w:r>
    </w:p>
    <w:p>
      <w:pPr>
        <w:rPr>
          <w:b/>
          <w:bCs/>
          <w:i/>
          <w:iCs/>
          <w:lang w:eastAsia="zh-CN"/>
        </w:rPr>
      </w:pPr>
      <w:r>
        <w:rPr>
          <w:rFonts w:hint="eastAsia"/>
          <w:b/>
          <w:bCs/>
          <w:i/>
          <w:iCs/>
          <w:lang w:eastAsia="zh-CN"/>
        </w:rPr>
        <w:t>Proposal 3: NCD-SSB related spec requires corrections.</w:t>
      </w:r>
    </w:p>
    <w:p>
      <w:pPr>
        <w:snapToGrid w:val="0"/>
        <w:spacing w:after="120" w:afterLines="50"/>
        <w:rPr>
          <w:i/>
          <w:iCs/>
          <w:lang w:eastAsia="zh-CN"/>
        </w:rPr>
      </w:pPr>
    </w:p>
    <w:p>
      <w:pPr>
        <w:pStyle w:val="2"/>
        <w:rPr>
          <w:lang w:eastAsia="zh-CN"/>
        </w:rPr>
      </w:pPr>
      <w:r>
        <w:rPr>
          <w:rFonts w:hint="eastAsia"/>
          <w:lang w:eastAsia="zh-CN"/>
        </w:rPr>
        <w:t>C</w:t>
      </w:r>
      <w:r>
        <w:rPr>
          <w:lang w:eastAsia="zh-CN"/>
        </w:rPr>
        <w:t>onclusion</w:t>
      </w:r>
    </w:p>
    <w:p>
      <w:pPr>
        <w:rPr>
          <w:lang w:eastAsia="zh-CN"/>
        </w:rPr>
      </w:pPr>
      <w:r>
        <w:rPr>
          <w:rFonts w:hint="eastAsia"/>
          <w:lang w:val="en-GB" w:eastAsia="zh-CN"/>
        </w:rPr>
        <w:t>I</w:t>
      </w:r>
      <w:r>
        <w:rPr>
          <w:lang w:val="en-GB" w:eastAsia="zh-CN"/>
        </w:rPr>
        <w:t xml:space="preserve">n this contribution, </w:t>
      </w:r>
      <w:r>
        <w:rPr>
          <w:rFonts w:hint="eastAsia"/>
          <w:lang w:eastAsia="zh-CN"/>
        </w:rPr>
        <w:t>we discussed the remaining issues for RedCap and have the following proposals:</w:t>
      </w:r>
    </w:p>
    <w:p>
      <w:pPr>
        <w:rPr>
          <w:rFonts w:eastAsia="等线"/>
          <w:b/>
          <w:bCs/>
          <w:i/>
          <w:iCs/>
          <w:lang w:eastAsia="zh-CN"/>
        </w:rPr>
      </w:pPr>
      <w:r>
        <w:rPr>
          <w:rFonts w:hint="eastAsia"/>
          <w:b/>
          <w:bCs/>
          <w:i/>
          <w:iCs/>
          <w:lang w:eastAsia="zh-CN"/>
        </w:rPr>
        <w:t xml:space="preserve">Proposal 1: During SDT procedure in separate initial DL BWP, whether/how </w:t>
      </w:r>
      <w:r>
        <w:rPr>
          <w:rFonts w:hint="eastAsia"/>
          <w:b/>
          <w:bCs/>
          <w:i/>
          <w:iCs/>
          <w:lang w:val="en-US" w:eastAsia="zh-CN"/>
        </w:rPr>
        <w:t xml:space="preserve">a </w:t>
      </w:r>
      <w:r>
        <w:rPr>
          <w:rFonts w:hint="eastAsia"/>
          <w:b/>
          <w:bCs/>
          <w:i/>
          <w:iCs/>
          <w:lang w:eastAsia="zh-CN"/>
        </w:rPr>
        <w:t>UE</w:t>
      </w:r>
      <w:r>
        <w:rPr>
          <w:rFonts w:hint="eastAsia" w:eastAsia="等线"/>
          <w:b/>
          <w:bCs/>
          <w:i/>
          <w:iCs/>
          <w:lang w:val="en-GB" w:eastAsia="en-GB"/>
        </w:rPr>
        <w:t xml:space="preserve"> monitors SI change indication</w:t>
      </w:r>
      <w:r>
        <w:rPr>
          <w:rFonts w:hint="eastAsia" w:eastAsia="等线"/>
          <w:b/>
          <w:bCs/>
          <w:i/>
          <w:iCs/>
          <w:lang w:eastAsia="zh-CN"/>
        </w:rPr>
        <w:t xml:space="preserve"> can be up to implementation.</w:t>
      </w:r>
    </w:p>
    <w:p>
      <w:pPr>
        <w:rPr>
          <w:b/>
          <w:bCs/>
          <w:i/>
          <w:iCs/>
          <w:lang w:eastAsia="zh-CN"/>
        </w:rPr>
      </w:pPr>
      <w:r>
        <w:rPr>
          <w:rFonts w:hint="eastAsia"/>
          <w:b/>
          <w:bCs/>
          <w:i/>
          <w:iCs/>
          <w:lang w:eastAsia="zh-CN"/>
        </w:rPr>
        <w:t>Proposal 2: A spec correction for SSB and CORESET#0 presence in separate initial DL BWP in FR1 and FR2 should be considered to keep align</w:t>
      </w:r>
      <w:r>
        <w:rPr>
          <w:b/>
          <w:bCs/>
          <w:i/>
          <w:iCs/>
          <w:lang w:eastAsia="zh-CN"/>
        </w:rPr>
        <w:t>ed</w:t>
      </w:r>
      <w:r>
        <w:rPr>
          <w:rFonts w:hint="eastAsia"/>
          <w:b/>
          <w:bCs/>
          <w:i/>
          <w:iCs/>
          <w:lang w:eastAsia="zh-CN"/>
        </w:rPr>
        <w:t xml:space="preserve"> with the agreement.</w:t>
      </w:r>
    </w:p>
    <w:p>
      <w:pPr>
        <w:rPr>
          <w:b/>
          <w:bCs/>
          <w:i/>
          <w:iCs/>
          <w:lang w:eastAsia="zh-CN"/>
        </w:rPr>
      </w:pPr>
      <w:r>
        <w:rPr>
          <w:rFonts w:hint="eastAsia"/>
          <w:b/>
          <w:bCs/>
          <w:i/>
          <w:iCs/>
          <w:lang w:eastAsia="zh-CN"/>
        </w:rPr>
        <w:t>Proposal 3: NCD-SSB related spec requires corrections.</w:t>
      </w:r>
    </w:p>
    <w:p>
      <w:pPr>
        <w:rPr>
          <w:lang w:eastAsia="zh-CN"/>
        </w:rPr>
      </w:pPr>
      <w:r>
        <w:rPr>
          <w:rFonts w:hint="eastAsia"/>
          <w:lang w:eastAsia="zh-CN"/>
        </w:rPr>
        <w:t xml:space="preserve">Regarding the SSB/CORESET#0 presence and NCD-SSB correction, the corresponding CRs are </w:t>
      </w:r>
      <w:r>
        <w:rPr>
          <w:lang w:eastAsia="zh-CN"/>
        </w:rPr>
        <w:t>proposed</w:t>
      </w:r>
      <w:r>
        <w:rPr>
          <w:rFonts w:hint="eastAsia"/>
          <w:lang w:eastAsia="zh-CN"/>
        </w:rPr>
        <w:t xml:space="preserve"> in [2], [3], [4]. </w:t>
      </w:r>
    </w:p>
    <w:p>
      <w:pPr>
        <w:snapToGrid w:val="0"/>
        <w:spacing w:after="120" w:afterLines="50"/>
        <w:rPr>
          <w:rFonts w:hint="eastAsia"/>
          <w:i/>
          <w:iCs/>
          <w:lang w:eastAsia="zh-CN"/>
        </w:rPr>
      </w:pPr>
    </w:p>
    <w:p>
      <w:pPr>
        <w:pStyle w:val="2"/>
        <w:rPr>
          <w:lang w:eastAsia="zh-CN"/>
        </w:rPr>
      </w:pPr>
      <w:r>
        <w:rPr>
          <w:rFonts w:hint="eastAsia"/>
          <w:lang w:eastAsia="zh-CN"/>
        </w:rPr>
        <w:t>R</w:t>
      </w:r>
      <w:r>
        <w:rPr>
          <w:lang w:eastAsia="zh-CN"/>
        </w:rPr>
        <w:t>eference</w:t>
      </w:r>
    </w:p>
    <w:p>
      <w:pPr>
        <w:pStyle w:val="126"/>
        <w:rPr>
          <w:lang w:eastAsia="zh-CN"/>
        </w:rPr>
      </w:pPr>
      <w:r>
        <w:rPr>
          <w:rFonts w:hint="eastAsia"/>
          <w:lang w:eastAsia="zh-CN"/>
        </w:rPr>
        <w:t>3GPP, R1-2205428. FL summary for maintenance on UE bandwidth reduction for RedCap</w:t>
      </w:r>
      <w:r>
        <w:rPr>
          <w:rFonts w:hint="eastAsia"/>
          <w:lang w:eastAsia="zh-CN"/>
        </w:rPr>
        <w:tab/>
      </w:r>
      <w:r>
        <w:rPr>
          <w:rFonts w:hint="eastAsia"/>
          <w:lang w:eastAsia="zh-CN"/>
        </w:rPr>
        <w:t>Ericsson</w:t>
      </w:r>
    </w:p>
    <w:p>
      <w:pPr>
        <w:pStyle w:val="126"/>
        <w:rPr>
          <w:lang w:eastAsia="zh-CN"/>
        </w:rPr>
      </w:pPr>
      <w:r>
        <w:rPr>
          <w:rFonts w:hint="eastAsia"/>
          <w:lang w:val="en-US" w:eastAsia="zh-CN"/>
        </w:rPr>
        <w:t xml:space="preserve">3GPP, R1-2207046 Correction on NCD-SSB related spec for RedCap in </w:t>
      </w:r>
      <w:r>
        <w:rPr>
          <w:rFonts w:hint="eastAsia"/>
          <w:lang w:eastAsia="zh-CN"/>
        </w:rPr>
        <w:t>TS3821</w:t>
      </w:r>
      <w:r>
        <w:rPr>
          <w:rFonts w:hint="eastAsia"/>
          <w:lang w:val="en-US" w:eastAsia="zh-CN"/>
        </w:rPr>
        <w:t>3  ZTE, Sanechips</w:t>
      </w:r>
    </w:p>
    <w:p>
      <w:pPr>
        <w:pStyle w:val="126"/>
        <w:rPr>
          <w:lang w:eastAsia="zh-CN"/>
        </w:rPr>
      </w:pPr>
      <w:r>
        <w:rPr>
          <w:rFonts w:hint="eastAsia"/>
          <w:lang w:val="en-US" w:eastAsia="zh-CN"/>
        </w:rPr>
        <w:t xml:space="preserve">3GPP, </w:t>
      </w:r>
      <w:r>
        <w:rPr>
          <w:rFonts w:hint="eastAsia"/>
          <w:lang w:eastAsia="zh-CN"/>
        </w:rPr>
        <w:t>R1-2207047 Correction on NCD-SSB related spec for RedCap in TS38214</w:t>
      </w:r>
      <w:r>
        <w:rPr>
          <w:rFonts w:hint="eastAsia"/>
          <w:lang w:val="en-US" w:eastAsia="zh-CN"/>
        </w:rPr>
        <w:t xml:space="preserve">  ZTE, Sanechips</w:t>
      </w:r>
    </w:p>
    <w:p>
      <w:pPr>
        <w:pStyle w:val="126"/>
        <w:rPr>
          <w:lang w:eastAsia="zh-CN"/>
        </w:rPr>
      </w:pPr>
      <w:r>
        <w:rPr>
          <w:rFonts w:hint="eastAsia"/>
          <w:lang w:val="en-US" w:eastAsia="zh-CN"/>
        </w:rPr>
        <w:t xml:space="preserve">3GPP, R1-2207048 Correction on SSB and CORESET#0 presence for RedCap  ZTE, Sanechips </w:t>
      </w:r>
    </w:p>
    <w:sectPr>
      <w:footerReference r:id="rId3" w:type="default"/>
      <w:footnotePr>
        <w:numRestart w:val="eachSect"/>
      </w:footnotePr>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auto"/>
    <w:pitch w:val="default"/>
    <w:sig w:usb0="00000000" w:usb1="00000000"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5</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8</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56537F"/>
    <w:multiLevelType w:val="multilevel"/>
    <w:tmpl w:val="8256537F"/>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ABD49D68"/>
    <w:multiLevelType w:val="singleLevel"/>
    <w:tmpl w:val="ABD49D68"/>
    <w:lvl w:ilvl="0" w:tentative="0">
      <w:start w:val="1"/>
      <w:numFmt w:val="decimal"/>
      <w:suff w:val="space"/>
      <w:lvlText w:val="%1."/>
      <w:lvlJc w:val="left"/>
    </w:lvl>
  </w:abstractNum>
  <w:abstractNum w:abstractNumId="2">
    <w:nsid w:val="D940F08E"/>
    <w:multiLevelType w:val="multilevel"/>
    <w:tmpl w:val="D940F08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4">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5">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7">
    <w:nsid w:val="3F6CEB8B"/>
    <w:multiLevelType w:val="multilevel"/>
    <w:tmpl w:val="3F6CEB8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8">
    <w:nsid w:val="4C17615D"/>
    <w:multiLevelType w:val="multilevel"/>
    <w:tmpl w:val="4C17615D"/>
    <w:lvl w:ilvl="0" w:tentative="0">
      <w:start w:val="1"/>
      <w:numFmt w:val="bullet"/>
      <w:lvlText w:val="-"/>
      <w:lvlJc w:val="left"/>
      <w:pPr>
        <w:ind w:left="420" w:hanging="420"/>
      </w:pPr>
      <w:rPr>
        <w:rFonts w:hint="default" w:ascii="Times New Roman" w:hAnsi="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4EF9743F"/>
    <w:multiLevelType w:val="multilevel"/>
    <w:tmpl w:val="4EF9743F"/>
    <w:lvl w:ilvl="0" w:tentative="0">
      <w:start w:val="1"/>
      <w:numFmt w:val="decimal"/>
      <w:lvlText w:val="%1."/>
      <w:lvlJc w:val="left"/>
      <w:pPr>
        <w:ind w:left="720" w:hanging="360"/>
      </w:pPr>
      <w:rPr>
        <w:rFonts w:hint="default"/>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307BAA8"/>
    <w:multiLevelType w:val="multilevel"/>
    <w:tmpl w:val="5307BAA8"/>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1">
    <w:nsid w:val="547E0F03"/>
    <w:multiLevelType w:val="multilevel"/>
    <w:tmpl w:val="547E0F03"/>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2">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0E1401B"/>
    <w:multiLevelType w:val="multilevel"/>
    <w:tmpl w:val="70E1401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4"/>
  </w:num>
  <w:num w:numId="3">
    <w:abstractNumId w:val="13"/>
  </w:num>
  <w:num w:numId="4">
    <w:abstractNumId w:val="6"/>
  </w:num>
  <w:num w:numId="5">
    <w:abstractNumId w:val="16"/>
  </w:num>
  <w:num w:numId="6">
    <w:abstractNumId w:val="12"/>
  </w:num>
  <w:num w:numId="7">
    <w:abstractNumId w:val="5"/>
  </w:num>
  <w:num w:numId="8">
    <w:abstractNumId w:val="15"/>
  </w:num>
  <w:num w:numId="9">
    <w:abstractNumId w:val="9"/>
  </w:num>
  <w:num w:numId="10">
    <w:abstractNumId w:val="8"/>
  </w:num>
  <w:num w:numId="11">
    <w:abstractNumId w:val="11"/>
  </w:num>
  <w:num w:numId="12">
    <w:abstractNumId w:val="7"/>
  </w:num>
  <w:num w:numId="13">
    <w:abstractNumId w:val="0"/>
  </w:num>
  <w:num w:numId="14">
    <w:abstractNumId w:val="2"/>
  </w:num>
  <w:num w:numId="15">
    <w:abstractNumId w:val="10"/>
  </w:num>
  <w:num w:numId="16">
    <w:abstractNumId w:val="14"/>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055"/>
    <w:rsid w:val="00003131"/>
    <w:rsid w:val="00003227"/>
    <w:rsid w:val="000037FB"/>
    <w:rsid w:val="00003B0E"/>
    <w:rsid w:val="00003EF4"/>
    <w:rsid w:val="0000403F"/>
    <w:rsid w:val="000042DA"/>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76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2CA"/>
    <w:rsid w:val="00016441"/>
    <w:rsid w:val="0001645D"/>
    <w:rsid w:val="000164BB"/>
    <w:rsid w:val="000167A6"/>
    <w:rsid w:val="00016DCE"/>
    <w:rsid w:val="00017309"/>
    <w:rsid w:val="000178F8"/>
    <w:rsid w:val="00017E51"/>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86D"/>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0D2B"/>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BFD"/>
    <w:rsid w:val="00061D2A"/>
    <w:rsid w:val="00061D56"/>
    <w:rsid w:val="000621A9"/>
    <w:rsid w:val="0006263A"/>
    <w:rsid w:val="00062D9A"/>
    <w:rsid w:val="000630FB"/>
    <w:rsid w:val="000631CE"/>
    <w:rsid w:val="00063485"/>
    <w:rsid w:val="00063804"/>
    <w:rsid w:val="00063F57"/>
    <w:rsid w:val="0006480B"/>
    <w:rsid w:val="00064A2B"/>
    <w:rsid w:val="00064B46"/>
    <w:rsid w:val="00064DBB"/>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6E73"/>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B96"/>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6C16"/>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992"/>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67D"/>
    <w:rsid w:val="000B59AA"/>
    <w:rsid w:val="000B5A06"/>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141"/>
    <w:rsid w:val="000C673C"/>
    <w:rsid w:val="000C69F8"/>
    <w:rsid w:val="000C6A01"/>
    <w:rsid w:val="000C71D9"/>
    <w:rsid w:val="000C7815"/>
    <w:rsid w:val="000D0153"/>
    <w:rsid w:val="000D037E"/>
    <w:rsid w:val="000D0810"/>
    <w:rsid w:val="000D0A0F"/>
    <w:rsid w:val="000D0AB8"/>
    <w:rsid w:val="000D0B71"/>
    <w:rsid w:val="000D0BCC"/>
    <w:rsid w:val="000D0F9A"/>
    <w:rsid w:val="000D10A8"/>
    <w:rsid w:val="000D148D"/>
    <w:rsid w:val="000D14EB"/>
    <w:rsid w:val="000D1610"/>
    <w:rsid w:val="000D1D97"/>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707"/>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1FF2"/>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3"/>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9"/>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203"/>
    <w:rsid w:val="00116339"/>
    <w:rsid w:val="0011668B"/>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A87"/>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5E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4F3F"/>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AFD"/>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2B7"/>
    <w:rsid w:val="001962C1"/>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709"/>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CF5"/>
    <w:rsid w:val="001C1E53"/>
    <w:rsid w:val="001C2056"/>
    <w:rsid w:val="001C211D"/>
    <w:rsid w:val="001C22B1"/>
    <w:rsid w:val="001C2A8B"/>
    <w:rsid w:val="001C3434"/>
    <w:rsid w:val="001C3474"/>
    <w:rsid w:val="001C3D2C"/>
    <w:rsid w:val="001C3DC6"/>
    <w:rsid w:val="001C3E02"/>
    <w:rsid w:val="001C40E0"/>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43D"/>
    <w:rsid w:val="001E6793"/>
    <w:rsid w:val="001E6AC4"/>
    <w:rsid w:val="001E6BDA"/>
    <w:rsid w:val="001E6C1B"/>
    <w:rsid w:val="001E7173"/>
    <w:rsid w:val="001E719A"/>
    <w:rsid w:val="001E7381"/>
    <w:rsid w:val="001E750C"/>
    <w:rsid w:val="001E7712"/>
    <w:rsid w:val="001E7A8F"/>
    <w:rsid w:val="001E7BE3"/>
    <w:rsid w:val="001E7D26"/>
    <w:rsid w:val="001E7E4F"/>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200"/>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6FB"/>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018"/>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974"/>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AD"/>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4AE"/>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0F51"/>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1DF3"/>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5F9"/>
    <w:rsid w:val="002F6AC6"/>
    <w:rsid w:val="002F6BDA"/>
    <w:rsid w:val="002F74E8"/>
    <w:rsid w:val="002F778C"/>
    <w:rsid w:val="002F7919"/>
    <w:rsid w:val="002F7B6D"/>
    <w:rsid w:val="002F7D48"/>
    <w:rsid w:val="002F7EC5"/>
    <w:rsid w:val="00300085"/>
    <w:rsid w:val="003000F1"/>
    <w:rsid w:val="0030020E"/>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3F46"/>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5B1"/>
    <w:rsid w:val="00313765"/>
    <w:rsid w:val="003137A0"/>
    <w:rsid w:val="00313BC1"/>
    <w:rsid w:val="00313C4F"/>
    <w:rsid w:val="00314111"/>
    <w:rsid w:val="003141C2"/>
    <w:rsid w:val="00314CBB"/>
    <w:rsid w:val="003151F9"/>
    <w:rsid w:val="0031530C"/>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332"/>
    <w:rsid w:val="00323DEB"/>
    <w:rsid w:val="00323FAD"/>
    <w:rsid w:val="00324089"/>
    <w:rsid w:val="00324645"/>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3E10"/>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3D7D"/>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196"/>
    <w:rsid w:val="003665C5"/>
    <w:rsid w:val="00366829"/>
    <w:rsid w:val="00366B3A"/>
    <w:rsid w:val="0036707B"/>
    <w:rsid w:val="00367990"/>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8AE"/>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1E9"/>
    <w:rsid w:val="0039122C"/>
    <w:rsid w:val="0039124D"/>
    <w:rsid w:val="00391354"/>
    <w:rsid w:val="00391A92"/>
    <w:rsid w:val="00391C99"/>
    <w:rsid w:val="00391D03"/>
    <w:rsid w:val="0039236B"/>
    <w:rsid w:val="003926BE"/>
    <w:rsid w:val="003929BE"/>
    <w:rsid w:val="003929D3"/>
    <w:rsid w:val="00392A1F"/>
    <w:rsid w:val="00392DB8"/>
    <w:rsid w:val="0039304E"/>
    <w:rsid w:val="003933FD"/>
    <w:rsid w:val="00393657"/>
    <w:rsid w:val="00393A68"/>
    <w:rsid w:val="00393B78"/>
    <w:rsid w:val="0039406C"/>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2D0"/>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A7C23"/>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4A4"/>
    <w:rsid w:val="003C2C9D"/>
    <w:rsid w:val="003C35BB"/>
    <w:rsid w:val="003C3B73"/>
    <w:rsid w:val="003C3D6E"/>
    <w:rsid w:val="003C3F8B"/>
    <w:rsid w:val="003C41B9"/>
    <w:rsid w:val="003C4213"/>
    <w:rsid w:val="003C4250"/>
    <w:rsid w:val="003C4393"/>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26B"/>
    <w:rsid w:val="003E44DC"/>
    <w:rsid w:val="003E4884"/>
    <w:rsid w:val="003E4CDB"/>
    <w:rsid w:val="003E4DE9"/>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B1C"/>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1EC8"/>
    <w:rsid w:val="00412263"/>
    <w:rsid w:val="0041249C"/>
    <w:rsid w:val="00412697"/>
    <w:rsid w:val="004126F3"/>
    <w:rsid w:val="00413369"/>
    <w:rsid w:val="004138DB"/>
    <w:rsid w:val="004139A9"/>
    <w:rsid w:val="0041432C"/>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314"/>
    <w:rsid w:val="0041743D"/>
    <w:rsid w:val="004174FC"/>
    <w:rsid w:val="00417678"/>
    <w:rsid w:val="00417D10"/>
    <w:rsid w:val="00420126"/>
    <w:rsid w:val="00420248"/>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02C"/>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27EF3"/>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680B"/>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0"/>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B0B"/>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B46"/>
    <w:rsid w:val="00480C70"/>
    <w:rsid w:val="00480CC5"/>
    <w:rsid w:val="00480D2C"/>
    <w:rsid w:val="004810EC"/>
    <w:rsid w:val="00481147"/>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9D0"/>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5F72"/>
    <w:rsid w:val="004961DB"/>
    <w:rsid w:val="0049653E"/>
    <w:rsid w:val="00496BEF"/>
    <w:rsid w:val="00496DC2"/>
    <w:rsid w:val="00496E38"/>
    <w:rsid w:val="00497404"/>
    <w:rsid w:val="00497C03"/>
    <w:rsid w:val="00497CD2"/>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678"/>
    <w:rsid w:val="004A4900"/>
    <w:rsid w:val="004A4D38"/>
    <w:rsid w:val="004A4E7E"/>
    <w:rsid w:val="004A4E95"/>
    <w:rsid w:val="004A4EB4"/>
    <w:rsid w:val="004A51FA"/>
    <w:rsid w:val="004A5270"/>
    <w:rsid w:val="004A57FC"/>
    <w:rsid w:val="004A5D36"/>
    <w:rsid w:val="004A705C"/>
    <w:rsid w:val="004A70C4"/>
    <w:rsid w:val="004A7172"/>
    <w:rsid w:val="004A7276"/>
    <w:rsid w:val="004A746B"/>
    <w:rsid w:val="004A770C"/>
    <w:rsid w:val="004A77E0"/>
    <w:rsid w:val="004A7B2B"/>
    <w:rsid w:val="004A7C0D"/>
    <w:rsid w:val="004A7EE7"/>
    <w:rsid w:val="004A7FB0"/>
    <w:rsid w:val="004B0706"/>
    <w:rsid w:val="004B0780"/>
    <w:rsid w:val="004B0787"/>
    <w:rsid w:val="004B0B32"/>
    <w:rsid w:val="004B1313"/>
    <w:rsid w:val="004B1489"/>
    <w:rsid w:val="004B169E"/>
    <w:rsid w:val="004B19BB"/>
    <w:rsid w:val="004B1C42"/>
    <w:rsid w:val="004B228D"/>
    <w:rsid w:val="004B24DB"/>
    <w:rsid w:val="004B269E"/>
    <w:rsid w:val="004B2700"/>
    <w:rsid w:val="004B2B31"/>
    <w:rsid w:val="004B2C33"/>
    <w:rsid w:val="004B2CDB"/>
    <w:rsid w:val="004B2DE8"/>
    <w:rsid w:val="004B2F6E"/>
    <w:rsid w:val="004B3C3F"/>
    <w:rsid w:val="004B4585"/>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827"/>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779"/>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852"/>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2D"/>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03"/>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078"/>
    <w:rsid w:val="00560AC9"/>
    <w:rsid w:val="00561250"/>
    <w:rsid w:val="0056134D"/>
    <w:rsid w:val="00561A95"/>
    <w:rsid w:val="00561BF6"/>
    <w:rsid w:val="00562757"/>
    <w:rsid w:val="005627C0"/>
    <w:rsid w:val="00562CDC"/>
    <w:rsid w:val="00562E55"/>
    <w:rsid w:val="00563FD2"/>
    <w:rsid w:val="0056434D"/>
    <w:rsid w:val="00564597"/>
    <w:rsid w:val="00564EB9"/>
    <w:rsid w:val="00564ED1"/>
    <w:rsid w:val="00565321"/>
    <w:rsid w:val="0056579F"/>
    <w:rsid w:val="00565C87"/>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77FBF"/>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858"/>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A9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89B"/>
    <w:rsid w:val="005C49E2"/>
    <w:rsid w:val="005C4B4D"/>
    <w:rsid w:val="005C4CA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D2F"/>
    <w:rsid w:val="005D5E46"/>
    <w:rsid w:val="005D609E"/>
    <w:rsid w:val="005D64A5"/>
    <w:rsid w:val="005D6680"/>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36D"/>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169"/>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C30"/>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910"/>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42A"/>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4AB"/>
    <w:rsid w:val="006949AD"/>
    <w:rsid w:val="00694C0B"/>
    <w:rsid w:val="00694E1F"/>
    <w:rsid w:val="00695529"/>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C5"/>
    <w:rsid w:val="006B24F8"/>
    <w:rsid w:val="006B254D"/>
    <w:rsid w:val="006B2DF5"/>
    <w:rsid w:val="006B3171"/>
    <w:rsid w:val="006B34DD"/>
    <w:rsid w:val="006B393F"/>
    <w:rsid w:val="006B3E55"/>
    <w:rsid w:val="006B401E"/>
    <w:rsid w:val="006B4B0E"/>
    <w:rsid w:val="006B4EF3"/>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45"/>
    <w:rsid w:val="006C3FF3"/>
    <w:rsid w:val="006C44D3"/>
    <w:rsid w:val="006C4588"/>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09"/>
    <w:rsid w:val="006D5E84"/>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26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93C"/>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098"/>
    <w:rsid w:val="007273EC"/>
    <w:rsid w:val="007279F1"/>
    <w:rsid w:val="00727E3C"/>
    <w:rsid w:val="00727E9F"/>
    <w:rsid w:val="007306D2"/>
    <w:rsid w:val="00730F0F"/>
    <w:rsid w:val="00730FB9"/>
    <w:rsid w:val="0073128B"/>
    <w:rsid w:val="0073150C"/>
    <w:rsid w:val="0073171A"/>
    <w:rsid w:val="007325D3"/>
    <w:rsid w:val="00732885"/>
    <w:rsid w:val="00732C77"/>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379EE"/>
    <w:rsid w:val="007401AF"/>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31"/>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4F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824"/>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60D"/>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E5"/>
    <w:rsid w:val="00787FF1"/>
    <w:rsid w:val="00791190"/>
    <w:rsid w:val="007916D2"/>
    <w:rsid w:val="00791866"/>
    <w:rsid w:val="00791ADE"/>
    <w:rsid w:val="00791BE9"/>
    <w:rsid w:val="00791BEA"/>
    <w:rsid w:val="00792173"/>
    <w:rsid w:val="007926B7"/>
    <w:rsid w:val="00792734"/>
    <w:rsid w:val="00792AD3"/>
    <w:rsid w:val="00792BEC"/>
    <w:rsid w:val="00792ECC"/>
    <w:rsid w:val="00793774"/>
    <w:rsid w:val="00793901"/>
    <w:rsid w:val="007939C7"/>
    <w:rsid w:val="00793F70"/>
    <w:rsid w:val="007947FB"/>
    <w:rsid w:val="00794DFE"/>
    <w:rsid w:val="00795282"/>
    <w:rsid w:val="007952B8"/>
    <w:rsid w:val="007954AC"/>
    <w:rsid w:val="00795804"/>
    <w:rsid w:val="00795809"/>
    <w:rsid w:val="00795BA6"/>
    <w:rsid w:val="00795CF1"/>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384"/>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C0"/>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63"/>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D77AB"/>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09E"/>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BC"/>
    <w:rsid w:val="00800DDB"/>
    <w:rsid w:val="008013B8"/>
    <w:rsid w:val="008016C8"/>
    <w:rsid w:val="0080179D"/>
    <w:rsid w:val="00801838"/>
    <w:rsid w:val="008018DC"/>
    <w:rsid w:val="00802410"/>
    <w:rsid w:val="0080270F"/>
    <w:rsid w:val="00802FDA"/>
    <w:rsid w:val="00803160"/>
    <w:rsid w:val="008036F8"/>
    <w:rsid w:val="0080378D"/>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8D5"/>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4FE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5E85"/>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3E67"/>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6F1E"/>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0C25"/>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2737"/>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B4"/>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49D"/>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192"/>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AB1"/>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89C"/>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9EB"/>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279F0"/>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C73"/>
    <w:rsid w:val="00932F78"/>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38F"/>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B71"/>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052"/>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6E6"/>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5E8"/>
    <w:rsid w:val="009A78D1"/>
    <w:rsid w:val="009A7DFB"/>
    <w:rsid w:val="009A7E08"/>
    <w:rsid w:val="009B0024"/>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6086"/>
    <w:rsid w:val="009B70E9"/>
    <w:rsid w:val="009B719B"/>
    <w:rsid w:val="009B7564"/>
    <w:rsid w:val="009B7BB7"/>
    <w:rsid w:val="009B7D5C"/>
    <w:rsid w:val="009B7DF5"/>
    <w:rsid w:val="009B7E5A"/>
    <w:rsid w:val="009B7FFA"/>
    <w:rsid w:val="009C00EF"/>
    <w:rsid w:val="009C06AA"/>
    <w:rsid w:val="009C0BC1"/>
    <w:rsid w:val="009C0DBE"/>
    <w:rsid w:val="009C1035"/>
    <w:rsid w:val="009C1680"/>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74"/>
    <w:rsid w:val="009E1BDA"/>
    <w:rsid w:val="009E1E2C"/>
    <w:rsid w:val="009E1F70"/>
    <w:rsid w:val="009E21A4"/>
    <w:rsid w:val="009E2234"/>
    <w:rsid w:val="009E2303"/>
    <w:rsid w:val="009E2BE6"/>
    <w:rsid w:val="009E2C51"/>
    <w:rsid w:val="009E2CB8"/>
    <w:rsid w:val="009E2DD3"/>
    <w:rsid w:val="009E2EAE"/>
    <w:rsid w:val="009E2F97"/>
    <w:rsid w:val="009E342B"/>
    <w:rsid w:val="009E3644"/>
    <w:rsid w:val="009E3759"/>
    <w:rsid w:val="009E3790"/>
    <w:rsid w:val="009E3C31"/>
    <w:rsid w:val="009E3E19"/>
    <w:rsid w:val="009E457F"/>
    <w:rsid w:val="009E4FCC"/>
    <w:rsid w:val="009E5656"/>
    <w:rsid w:val="009E5AB4"/>
    <w:rsid w:val="009E60C7"/>
    <w:rsid w:val="009E641D"/>
    <w:rsid w:val="009E6463"/>
    <w:rsid w:val="009E6A27"/>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6D7"/>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C01"/>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27FA3"/>
    <w:rsid w:val="00A30703"/>
    <w:rsid w:val="00A30BAE"/>
    <w:rsid w:val="00A3135B"/>
    <w:rsid w:val="00A313D0"/>
    <w:rsid w:val="00A314A9"/>
    <w:rsid w:val="00A31591"/>
    <w:rsid w:val="00A31E88"/>
    <w:rsid w:val="00A321EE"/>
    <w:rsid w:val="00A3226E"/>
    <w:rsid w:val="00A32284"/>
    <w:rsid w:val="00A325BB"/>
    <w:rsid w:val="00A325C2"/>
    <w:rsid w:val="00A325CC"/>
    <w:rsid w:val="00A326E5"/>
    <w:rsid w:val="00A32707"/>
    <w:rsid w:val="00A327E2"/>
    <w:rsid w:val="00A329BB"/>
    <w:rsid w:val="00A32A44"/>
    <w:rsid w:val="00A32C37"/>
    <w:rsid w:val="00A331E5"/>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67DDA"/>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6CB"/>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12"/>
    <w:rsid w:val="00A97666"/>
    <w:rsid w:val="00A97B8A"/>
    <w:rsid w:val="00A97B8C"/>
    <w:rsid w:val="00A97DBD"/>
    <w:rsid w:val="00A97EF9"/>
    <w:rsid w:val="00AA0003"/>
    <w:rsid w:val="00AA0A19"/>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A7DF7"/>
    <w:rsid w:val="00AB001C"/>
    <w:rsid w:val="00AB0295"/>
    <w:rsid w:val="00AB02C8"/>
    <w:rsid w:val="00AB05BC"/>
    <w:rsid w:val="00AB06B8"/>
    <w:rsid w:val="00AB06E6"/>
    <w:rsid w:val="00AB0ADE"/>
    <w:rsid w:val="00AB0B59"/>
    <w:rsid w:val="00AB0CA0"/>
    <w:rsid w:val="00AB102D"/>
    <w:rsid w:val="00AB1705"/>
    <w:rsid w:val="00AB1A33"/>
    <w:rsid w:val="00AB1D1F"/>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697"/>
    <w:rsid w:val="00AB6C44"/>
    <w:rsid w:val="00AB6CA0"/>
    <w:rsid w:val="00AB76D5"/>
    <w:rsid w:val="00AB7787"/>
    <w:rsid w:val="00AB78AC"/>
    <w:rsid w:val="00AB7913"/>
    <w:rsid w:val="00AB79A8"/>
    <w:rsid w:val="00AB7FCD"/>
    <w:rsid w:val="00AC0169"/>
    <w:rsid w:val="00AC0CC3"/>
    <w:rsid w:val="00AC1271"/>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2DD"/>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3B15"/>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2E55"/>
    <w:rsid w:val="00AF3560"/>
    <w:rsid w:val="00AF3C80"/>
    <w:rsid w:val="00AF3C8C"/>
    <w:rsid w:val="00AF3DE1"/>
    <w:rsid w:val="00AF4095"/>
    <w:rsid w:val="00AF41FC"/>
    <w:rsid w:val="00AF4447"/>
    <w:rsid w:val="00AF457C"/>
    <w:rsid w:val="00AF47CB"/>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9F"/>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2DF"/>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685"/>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372D0"/>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3B"/>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04B"/>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3C9"/>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5D4"/>
    <w:rsid w:val="00B63870"/>
    <w:rsid w:val="00B640AB"/>
    <w:rsid w:val="00B64124"/>
    <w:rsid w:val="00B64398"/>
    <w:rsid w:val="00B64484"/>
    <w:rsid w:val="00B645F8"/>
    <w:rsid w:val="00B64A44"/>
    <w:rsid w:val="00B64F38"/>
    <w:rsid w:val="00B652B0"/>
    <w:rsid w:val="00B65771"/>
    <w:rsid w:val="00B66254"/>
    <w:rsid w:val="00B664EC"/>
    <w:rsid w:val="00B66801"/>
    <w:rsid w:val="00B668B4"/>
    <w:rsid w:val="00B66FFC"/>
    <w:rsid w:val="00B67078"/>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D68"/>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CF"/>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3E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3B9"/>
    <w:rsid w:val="00BB6431"/>
    <w:rsid w:val="00BB645D"/>
    <w:rsid w:val="00BB6472"/>
    <w:rsid w:val="00BB71EC"/>
    <w:rsid w:val="00BB724B"/>
    <w:rsid w:val="00BB740F"/>
    <w:rsid w:val="00BB7DB1"/>
    <w:rsid w:val="00BC0AE6"/>
    <w:rsid w:val="00BC0C2F"/>
    <w:rsid w:val="00BC1293"/>
    <w:rsid w:val="00BC16BF"/>
    <w:rsid w:val="00BC1B4B"/>
    <w:rsid w:val="00BC201A"/>
    <w:rsid w:val="00BC2BC7"/>
    <w:rsid w:val="00BC2F45"/>
    <w:rsid w:val="00BC344E"/>
    <w:rsid w:val="00BC38B8"/>
    <w:rsid w:val="00BC3CF8"/>
    <w:rsid w:val="00BC467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15C"/>
    <w:rsid w:val="00BE2539"/>
    <w:rsid w:val="00BE2DD4"/>
    <w:rsid w:val="00BE2E99"/>
    <w:rsid w:val="00BE3412"/>
    <w:rsid w:val="00BE3AFA"/>
    <w:rsid w:val="00BE3F52"/>
    <w:rsid w:val="00BE403F"/>
    <w:rsid w:val="00BE45C1"/>
    <w:rsid w:val="00BE51C7"/>
    <w:rsid w:val="00BE5515"/>
    <w:rsid w:val="00BE5613"/>
    <w:rsid w:val="00BE5813"/>
    <w:rsid w:val="00BE581F"/>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1A"/>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B66"/>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5E7"/>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118"/>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52"/>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08"/>
    <w:rsid w:val="00CC32B0"/>
    <w:rsid w:val="00CC34E2"/>
    <w:rsid w:val="00CC3983"/>
    <w:rsid w:val="00CC3D8D"/>
    <w:rsid w:val="00CC3E8C"/>
    <w:rsid w:val="00CC400F"/>
    <w:rsid w:val="00CC4365"/>
    <w:rsid w:val="00CC4C5E"/>
    <w:rsid w:val="00CC4C9E"/>
    <w:rsid w:val="00CC4CD7"/>
    <w:rsid w:val="00CC4F58"/>
    <w:rsid w:val="00CC57AE"/>
    <w:rsid w:val="00CC5AE0"/>
    <w:rsid w:val="00CC6051"/>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1F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148"/>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34"/>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21"/>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294"/>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674"/>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9AF"/>
    <w:rsid w:val="00D81B12"/>
    <w:rsid w:val="00D820F3"/>
    <w:rsid w:val="00D829AC"/>
    <w:rsid w:val="00D82AA1"/>
    <w:rsid w:val="00D83401"/>
    <w:rsid w:val="00D83850"/>
    <w:rsid w:val="00D84268"/>
    <w:rsid w:val="00D84278"/>
    <w:rsid w:val="00D846C5"/>
    <w:rsid w:val="00D847C6"/>
    <w:rsid w:val="00D84EF8"/>
    <w:rsid w:val="00D84F16"/>
    <w:rsid w:val="00D852F9"/>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AA0"/>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223"/>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67E"/>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842"/>
    <w:rsid w:val="00DE2D4B"/>
    <w:rsid w:val="00DE34C6"/>
    <w:rsid w:val="00DE3D42"/>
    <w:rsid w:val="00DE3E7C"/>
    <w:rsid w:val="00DE42A3"/>
    <w:rsid w:val="00DE464E"/>
    <w:rsid w:val="00DE4664"/>
    <w:rsid w:val="00DE4811"/>
    <w:rsid w:val="00DE4B0C"/>
    <w:rsid w:val="00DE5D1C"/>
    <w:rsid w:val="00DE5FDA"/>
    <w:rsid w:val="00DE61AA"/>
    <w:rsid w:val="00DE6634"/>
    <w:rsid w:val="00DE67AE"/>
    <w:rsid w:val="00DE6E12"/>
    <w:rsid w:val="00DE72D7"/>
    <w:rsid w:val="00DE73EF"/>
    <w:rsid w:val="00DE752E"/>
    <w:rsid w:val="00DE7793"/>
    <w:rsid w:val="00DE7D03"/>
    <w:rsid w:val="00DE7F45"/>
    <w:rsid w:val="00DF02EC"/>
    <w:rsid w:val="00DF0820"/>
    <w:rsid w:val="00DF0D33"/>
    <w:rsid w:val="00DF0E63"/>
    <w:rsid w:val="00DF12DC"/>
    <w:rsid w:val="00DF1300"/>
    <w:rsid w:val="00DF13BC"/>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D08"/>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493"/>
    <w:rsid w:val="00E175FF"/>
    <w:rsid w:val="00E17A1A"/>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8EB"/>
    <w:rsid w:val="00E339C6"/>
    <w:rsid w:val="00E33B8C"/>
    <w:rsid w:val="00E33D92"/>
    <w:rsid w:val="00E33E4D"/>
    <w:rsid w:val="00E34D6F"/>
    <w:rsid w:val="00E34F08"/>
    <w:rsid w:val="00E35029"/>
    <w:rsid w:val="00E35698"/>
    <w:rsid w:val="00E358D7"/>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405"/>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4C67"/>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CF4"/>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15C"/>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2FA6"/>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E55"/>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86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104"/>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0C5"/>
    <w:rsid w:val="00F05D3C"/>
    <w:rsid w:val="00F05EED"/>
    <w:rsid w:val="00F068D2"/>
    <w:rsid w:val="00F06F02"/>
    <w:rsid w:val="00F072FE"/>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C12"/>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444"/>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1FE8"/>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27"/>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0ED"/>
    <w:rsid w:val="00F961D4"/>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2E3"/>
    <w:rsid w:val="00FA7A20"/>
    <w:rsid w:val="00FA7AA6"/>
    <w:rsid w:val="00FA7C04"/>
    <w:rsid w:val="00FB0443"/>
    <w:rsid w:val="00FB0540"/>
    <w:rsid w:val="00FB08FB"/>
    <w:rsid w:val="00FB1309"/>
    <w:rsid w:val="00FB15D5"/>
    <w:rsid w:val="00FB1606"/>
    <w:rsid w:val="00FB18E8"/>
    <w:rsid w:val="00FB19D8"/>
    <w:rsid w:val="00FB22E5"/>
    <w:rsid w:val="00FB2864"/>
    <w:rsid w:val="00FB2AE2"/>
    <w:rsid w:val="00FB2F6A"/>
    <w:rsid w:val="00FB2F94"/>
    <w:rsid w:val="00FB3CD6"/>
    <w:rsid w:val="00FB4065"/>
    <w:rsid w:val="00FB419E"/>
    <w:rsid w:val="00FB4760"/>
    <w:rsid w:val="00FB47B5"/>
    <w:rsid w:val="00FB4938"/>
    <w:rsid w:val="00FB5201"/>
    <w:rsid w:val="00FB52FD"/>
    <w:rsid w:val="00FB57A7"/>
    <w:rsid w:val="00FB59F0"/>
    <w:rsid w:val="00FB5A6F"/>
    <w:rsid w:val="00FB67CA"/>
    <w:rsid w:val="00FB6A96"/>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842"/>
    <w:rsid w:val="00FD2A71"/>
    <w:rsid w:val="00FD2B26"/>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6E91"/>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CAC"/>
    <w:rsid w:val="00FF2376"/>
    <w:rsid w:val="00FF2644"/>
    <w:rsid w:val="00FF26B7"/>
    <w:rsid w:val="00FF2A88"/>
    <w:rsid w:val="00FF37C5"/>
    <w:rsid w:val="00FF3A12"/>
    <w:rsid w:val="00FF3C0B"/>
    <w:rsid w:val="00FF3CFC"/>
    <w:rsid w:val="00FF3F37"/>
    <w:rsid w:val="00FF40B5"/>
    <w:rsid w:val="00FF40CB"/>
    <w:rsid w:val="00FF43AF"/>
    <w:rsid w:val="00FF48E0"/>
    <w:rsid w:val="00FF5026"/>
    <w:rsid w:val="00FF50CB"/>
    <w:rsid w:val="00FF5173"/>
    <w:rsid w:val="00FF51D0"/>
    <w:rsid w:val="00FF52CC"/>
    <w:rsid w:val="00FF52E3"/>
    <w:rsid w:val="00FF5D1A"/>
    <w:rsid w:val="00FF609A"/>
    <w:rsid w:val="00FF63FE"/>
    <w:rsid w:val="00FF6CF6"/>
    <w:rsid w:val="00FF70CF"/>
    <w:rsid w:val="00FF72A3"/>
    <w:rsid w:val="00FF74BE"/>
    <w:rsid w:val="00FF75D0"/>
    <w:rsid w:val="00FF78DB"/>
    <w:rsid w:val="00FF7A04"/>
    <w:rsid w:val="010604CC"/>
    <w:rsid w:val="01C03713"/>
    <w:rsid w:val="01FD244D"/>
    <w:rsid w:val="0284643E"/>
    <w:rsid w:val="03532C3F"/>
    <w:rsid w:val="03B25C4C"/>
    <w:rsid w:val="03BF3218"/>
    <w:rsid w:val="03F94E83"/>
    <w:rsid w:val="03FC4856"/>
    <w:rsid w:val="04E41561"/>
    <w:rsid w:val="05B17F92"/>
    <w:rsid w:val="05BB7F7A"/>
    <w:rsid w:val="067D4C1C"/>
    <w:rsid w:val="06B127E5"/>
    <w:rsid w:val="072F2729"/>
    <w:rsid w:val="07930EFC"/>
    <w:rsid w:val="07C21FA9"/>
    <w:rsid w:val="084E0A61"/>
    <w:rsid w:val="090B2E10"/>
    <w:rsid w:val="0957797D"/>
    <w:rsid w:val="0972706B"/>
    <w:rsid w:val="09AD4B9B"/>
    <w:rsid w:val="09C21BB6"/>
    <w:rsid w:val="0A493B46"/>
    <w:rsid w:val="0ABD7848"/>
    <w:rsid w:val="0AE321F4"/>
    <w:rsid w:val="0AFC60B7"/>
    <w:rsid w:val="0B6F462B"/>
    <w:rsid w:val="0BAD7041"/>
    <w:rsid w:val="0C48621C"/>
    <w:rsid w:val="0C6F5654"/>
    <w:rsid w:val="0CC30021"/>
    <w:rsid w:val="0D132BA9"/>
    <w:rsid w:val="0D3F0958"/>
    <w:rsid w:val="0D4B5B83"/>
    <w:rsid w:val="0D660AC2"/>
    <w:rsid w:val="0D672BF6"/>
    <w:rsid w:val="0D837346"/>
    <w:rsid w:val="0E120AD5"/>
    <w:rsid w:val="0E450587"/>
    <w:rsid w:val="0EB06FFE"/>
    <w:rsid w:val="0ED618CF"/>
    <w:rsid w:val="10150A41"/>
    <w:rsid w:val="10544A4E"/>
    <w:rsid w:val="10725807"/>
    <w:rsid w:val="11293315"/>
    <w:rsid w:val="112D5FBB"/>
    <w:rsid w:val="11C01E61"/>
    <w:rsid w:val="120A351A"/>
    <w:rsid w:val="1257267A"/>
    <w:rsid w:val="12A472D8"/>
    <w:rsid w:val="12BA1C71"/>
    <w:rsid w:val="12BD3F7B"/>
    <w:rsid w:val="12FE321B"/>
    <w:rsid w:val="130859B8"/>
    <w:rsid w:val="13E10A8A"/>
    <w:rsid w:val="14094FB0"/>
    <w:rsid w:val="141F2191"/>
    <w:rsid w:val="15636D5E"/>
    <w:rsid w:val="156C09F1"/>
    <w:rsid w:val="1575AEB2"/>
    <w:rsid w:val="158C236A"/>
    <w:rsid w:val="15A32C9C"/>
    <w:rsid w:val="1617633E"/>
    <w:rsid w:val="164F7F6D"/>
    <w:rsid w:val="165E068A"/>
    <w:rsid w:val="16C32995"/>
    <w:rsid w:val="16E44CDC"/>
    <w:rsid w:val="1702D3F2"/>
    <w:rsid w:val="174A2A64"/>
    <w:rsid w:val="188D2058"/>
    <w:rsid w:val="18955C5C"/>
    <w:rsid w:val="18AC6F44"/>
    <w:rsid w:val="18BA7603"/>
    <w:rsid w:val="18FD3F86"/>
    <w:rsid w:val="192B740B"/>
    <w:rsid w:val="19BF69C0"/>
    <w:rsid w:val="19CB44D5"/>
    <w:rsid w:val="1A0F7D6B"/>
    <w:rsid w:val="1A135A0A"/>
    <w:rsid w:val="1A514204"/>
    <w:rsid w:val="1B2E6DC7"/>
    <w:rsid w:val="1B357BCB"/>
    <w:rsid w:val="1B5316CE"/>
    <w:rsid w:val="1B5E59D2"/>
    <w:rsid w:val="1C766428"/>
    <w:rsid w:val="1DD50930"/>
    <w:rsid w:val="1DF407BB"/>
    <w:rsid w:val="1DFE2C7E"/>
    <w:rsid w:val="1E38003B"/>
    <w:rsid w:val="1EB96E9E"/>
    <w:rsid w:val="1EE34C4B"/>
    <w:rsid w:val="1EF36939"/>
    <w:rsid w:val="1F1B2F44"/>
    <w:rsid w:val="1F850095"/>
    <w:rsid w:val="1FA800FC"/>
    <w:rsid w:val="1FB91CD0"/>
    <w:rsid w:val="20267804"/>
    <w:rsid w:val="20910CB1"/>
    <w:rsid w:val="209D5BDE"/>
    <w:rsid w:val="20CD42FE"/>
    <w:rsid w:val="21035A99"/>
    <w:rsid w:val="21282288"/>
    <w:rsid w:val="21FA2867"/>
    <w:rsid w:val="229D4A01"/>
    <w:rsid w:val="23115C93"/>
    <w:rsid w:val="23680C07"/>
    <w:rsid w:val="239E142D"/>
    <w:rsid w:val="23B373EC"/>
    <w:rsid w:val="23EC549A"/>
    <w:rsid w:val="245870DE"/>
    <w:rsid w:val="247247A7"/>
    <w:rsid w:val="2473146A"/>
    <w:rsid w:val="25177820"/>
    <w:rsid w:val="27893630"/>
    <w:rsid w:val="27C5366D"/>
    <w:rsid w:val="27DD67CA"/>
    <w:rsid w:val="28690808"/>
    <w:rsid w:val="28B07E55"/>
    <w:rsid w:val="28B54AA2"/>
    <w:rsid w:val="295814CC"/>
    <w:rsid w:val="29E343AC"/>
    <w:rsid w:val="2A0F0B23"/>
    <w:rsid w:val="2AFE2B7E"/>
    <w:rsid w:val="2B586FE8"/>
    <w:rsid w:val="2BB0172E"/>
    <w:rsid w:val="2C41571C"/>
    <w:rsid w:val="2C692F57"/>
    <w:rsid w:val="2D376513"/>
    <w:rsid w:val="2D537AEF"/>
    <w:rsid w:val="2DA80B01"/>
    <w:rsid w:val="2DC863F1"/>
    <w:rsid w:val="2E2E5D98"/>
    <w:rsid w:val="2E6879EE"/>
    <w:rsid w:val="2EB72406"/>
    <w:rsid w:val="2F2367DE"/>
    <w:rsid w:val="2F6F7F26"/>
    <w:rsid w:val="2F8121A9"/>
    <w:rsid w:val="2FEF3DCB"/>
    <w:rsid w:val="30796C73"/>
    <w:rsid w:val="30915C04"/>
    <w:rsid w:val="31542D3B"/>
    <w:rsid w:val="32832752"/>
    <w:rsid w:val="32FE23BF"/>
    <w:rsid w:val="330E6893"/>
    <w:rsid w:val="33DE0CB9"/>
    <w:rsid w:val="33EB3659"/>
    <w:rsid w:val="34001E89"/>
    <w:rsid w:val="3511129D"/>
    <w:rsid w:val="3521653B"/>
    <w:rsid w:val="356927F3"/>
    <w:rsid w:val="359455FE"/>
    <w:rsid w:val="359D4E0A"/>
    <w:rsid w:val="36AD4AC1"/>
    <w:rsid w:val="36CD07B0"/>
    <w:rsid w:val="375C57D7"/>
    <w:rsid w:val="37DD651E"/>
    <w:rsid w:val="37FB4B04"/>
    <w:rsid w:val="38BA113F"/>
    <w:rsid w:val="394F2AB7"/>
    <w:rsid w:val="39D57D5E"/>
    <w:rsid w:val="3A135075"/>
    <w:rsid w:val="3A8424B5"/>
    <w:rsid w:val="3AB31D0C"/>
    <w:rsid w:val="3B322359"/>
    <w:rsid w:val="3B4A3B53"/>
    <w:rsid w:val="3BA77FB5"/>
    <w:rsid w:val="3BFF5051"/>
    <w:rsid w:val="3C923082"/>
    <w:rsid w:val="3D0354C7"/>
    <w:rsid w:val="3D7642C9"/>
    <w:rsid w:val="3DDA6D42"/>
    <w:rsid w:val="3E7347F4"/>
    <w:rsid w:val="3EF83C43"/>
    <w:rsid w:val="3F01664D"/>
    <w:rsid w:val="3F175FC8"/>
    <w:rsid w:val="3F944AE3"/>
    <w:rsid w:val="3F956731"/>
    <w:rsid w:val="3FD010A5"/>
    <w:rsid w:val="40850DCD"/>
    <w:rsid w:val="41AC1D9C"/>
    <w:rsid w:val="420670A2"/>
    <w:rsid w:val="421E706B"/>
    <w:rsid w:val="4242619A"/>
    <w:rsid w:val="42A0518C"/>
    <w:rsid w:val="42A5248A"/>
    <w:rsid w:val="42B20782"/>
    <w:rsid w:val="431B4E70"/>
    <w:rsid w:val="43877BDB"/>
    <w:rsid w:val="43E517D9"/>
    <w:rsid w:val="442461E5"/>
    <w:rsid w:val="44917C93"/>
    <w:rsid w:val="44DB75FA"/>
    <w:rsid w:val="46D41E44"/>
    <w:rsid w:val="46FD4D28"/>
    <w:rsid w:val="47020962"/>
    <w:rsid w:val="479255E8"/>
    <w:rsid w:val="47AE2F53"/>
    <w:rsid w:val="48150A23"/>
    <w:rsid w:val="48176855"/>
    <w:rsid w:val="496938E0"/>
    <w:rsid w:val="49882B35"/>
    <w:rsid w:val="4ABD42EB"/>
    <w:rsid w:val="4AC63EA3"/>
    <w:rsid w:val="4B3872E6"/>
    <w:rsid w:val="4B7338A2"/>
    <w:rsid w:val="4BBF2D23"/>
    <w:rsid w:val="4BC2698A"/>
    <w:rsid w:val="4BE87683"/>
    <w:rsid w:val="4C3C786C"/>
    <w:rsid w:val="4CA149AE"/>
    <w:rsid w:val="4CD91952"/>
    <w:rsid w:val="4CF73A43"/>
    <w:rsid w:val="4D9151DB"/>
    <w:rsid w:val="4D940ED8"/>
    <w:rsid w:val="4DAC40A0"/>
    <w:rsid w:val="4DF51404"/>
    <w:rsid w:val="4E452B9B"/>
    <w:rsid w:val="4E5633F4"/>
    <w:rsid w:val="4E7740D9"/>
    <w:rsid w:val="4EAC0AFF"/>
    <w:rsid w:val="4EC2021D"/>
    <w:rsid w:val="4F2F5C87"/>
    <w:rsid w:val="4F63119A"/>
    <w:rsid w:val="4FA32A72"/>
    <w:rsid w:val="50FD13B2"/>
    <w:rsid w:val="52581078"/>
    <w:rsid w:val="52FE30BB"/>
    <w:rsid w:val="536E79E7"/>
    <w:rsid w:val="542366BA"/>
    <w:rsid w:val="543E0FC0"/>
    <w:rsid w:val="54A841F2"/>
    <w:rsid w:val="54CE2507"/>
    <w:rsid w:val="54F73567"/>
    <w:rsid w:val="55181CD2"/>
    <w:rsid w:val="55731E23"/>
    <w:rsid w:val="55D01D97"/>
    <w:rsid w:val="56203D50"/>
    <w:rsid w:val="56DD68A4"/>
    <w:rsid w:val="56E122F1"/>
    <w:rsid w:val="56ED779D"/>
    <w:rsid w:val="57027605"/>
    <w:rsid w:val="57244B18"/>
    <w:rsid w:val="57EF6871"/>
    <w:rsid w:val="58187C94"/>
    <w:rsid w:val="58240039"/>
    <w:rsid w:val="595A121E"/>
    <w:rsid w:val="59C75644"/>
    <w:rsid w:val="5A943785"/>
    <w:rsid w:val="5AF07FF7"/>
    <w:rsid w:val="5AF422E5"/>
    <w:rsid w:val="5AF82B4D"/>
    <w:rsid w:val="5B3D6E80"/>
    <w:rsid w:val="5B786F22"/>
    <w:rsid w:val="5BF26431"/>
    <w:rsid w:val="5BF56220"/>
    <w:rsid w:val="5D1C1933"/>
    <w:rsid w:val="5E780DEA"/>
    <w:rsid w:val="5EBA0116"/>
    <w:rsid w:val="5F631FA8"/>
    <w:rsid w:val="60BE78D6"/>
    <w:rsid w:val="61846ED7"/>
    <w:rsid w:val="62274282"/>
    <w:rsid w:val="6262574A"/>
    <w:rsid w:val="62994EBE"/>
    <w:rsid w:val="631C283B"/>
    <w:rsid w:val="63E25891"/>
    <w:rsid w:val="64296366"/>
    <w:rsid w:val="646F52AB"/>
    <w:rsid w:val="65060E62"/>
    <w:rsid w:val="65507243"/>
    <w:rsid w:val="656027FF"/>
    <w:rsid w:val="65C61D8C"/>
    <w:rsid w:val="66457E51"/>
    <w:rsid w:val="6680376E"/>
    <w:rsid w:val="66ED31EA"/>
    <w:rsid w:val="67520FCF"/>
    <w:rsid w:val="67886BE7"/>
    <w:rsid w:val="67D4666E"/>
    <w:rsid w:val="68D129D3"/>
    <w:rsid w:val="691A3243"/>
    <w:rsid w:val="69466947"/>
    <w:rsid w:val="696C42BB"/>
    <w:rsid w:val="698A6B0F"/>
    <w:rsid w:val="6A782EAA"/>
    <w:rsid w:val="6B704279"/>
    <w:rsid w:val="6CB90A32"/>
    <w:rsid w:val="6D020EA1"/>
    <w:rsid w:val="6D410529"/>
    <w:rsid w:val="6DAA4D7F"/>
    <w:rsid w:val="6E0F1211"/>
    <w:rsid w:val="6E9A7650"/>
    <w:rsid w:val="6EE36483"/>
    <w:rsid w:val="6FBD0858"/>
    <w:rsid w:val="706E7F8A"/>
    <w:rsid w:val="709136B6"/>
    <w:rsid w:val="71A11828"/>
    <w:rsid w:val="71CA3592"/>
    <w:rsid w:val="72E1752D"/>
    <w:rsid w:val="73543809"/>
    <w:rsid w:val="73A015C2"/>
    <w:rsid w:val="73A913CF"/>
    <w:rsid w:val="73EB1497"/>
    <w:rsid w:val="73F31236"/>
    <w:rsid w:val="74000A47"/>
    <w:rsid w:val="745A1400"/>
    <w:rsid w:val="74885606"/>
    <w:rsid w:val="751115BE"/>
    <w:rsid w:val="751672C7"/>
    <w:rsid w:val="756E477C"/>
    <w:rsid w:val="75740E00"/>
    <w:rsid w:val="75B75E6A"/>
    <w:rsid w:val="763A080C"/>
    <w:rsid w:val="76783EB1"/>
    <w:rsid w:val="76962597"/>
    <w:rsid w:val="76EB5B39"/>
    <w:rsid w:val="776F4F23"/>
    <w:rsid w:val="777358C2"/>
    <w:rsid w:val="78156E78"/>
    <w:rsid w:val="782D5EAF"/>
    <w:rsid w:val="7841754E"/>
    <w:rsid w:val="789F1175"/>
    <w:rsid w:val="78A164CB"/>
    <w:rsid w:val="791A4BF9"/>
    <w:rsid w:val="7931734A"/>
    <w:rsid w:val="79F62011"/>
    <w:rsid w:val="7A2365CF"/>
    <w:rsid w:val="7AA236BA"/>
    <w:rsid w:val="7ADB38D4"/>
    <w:rsid w:val="7B2F6209"/>
    <w:rsid w:val="7B5E4FB6"/>
    <w:rsid w:val="7C1F4C14"/>
    <w:rsid w:val="7C2F4521"/>
    <w:rsid w:val="7C8C4BA7"/>
    <w:rsid w:val="7DD2691C"/>
    <w:rsid w:val="7E3563A1"/>
    <w:rsid w:val="7E362598"/>
    <w:rsid w:val="7E9326F9"/>
    <w:rsid w:val="7EE20452"/>
    <w:rsid w:val="7F1F05D2"/>
    <w:rsid w:val="7F395D9C"/>
    <w:rsid w:val="7FCC0D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67"/>
    <w:qFormat/>
    <w:uiPriority w:val="0"/>
    <w:pPr>
      <w:numPr>
        <w:ilvl w:val="4"/>
      </w:numPr>
      <w:outlineLvl w:val="4"/>
    </w:pPr>
    <w:rPr>
      <w:sz w:val="22"/>
    </w:rPr>
  </w:style>
  <w:style w:type="paragraph" w:styleId="7">
    <w:name w:val="heading 6"/>
    <w:basedOn w:val="8"/>
    <w:next w:val="1"/>
    <w:link w:val="168"/>
    <w:qFormat/>
    <w:uiPriority w:val="0"/>
    <w:pPr>
      <w:numPr>
        <w:ilvl w:val="5"/>
      </w:numPr>
      <w:outlineLvl w:val="5"/>
    </w:pPr>
  </w:style>
  <w:style w:type="paragraph" w:styleId="9">
    <w:name w:val="heading 7"/>
    <w:basedOn w:val="8"/>
    <w:next w:val="1"/>
    <w:link w:val="161"/>
    <w:qFormat/>
    <w:uiPriority w:val="0"/>
    <w:pPr>
      <w:numPr>
        <w:ilvl w:val="6"/>
      </w:numPr>
      <w:outlineLvl w:val="6"/>
    </w:pPr>
  </w:style>
  <w:style w:type="paragraph" w:styleId="10">
    <w:name w:val="heading 8"/>
    <w:basedOn w:val="2"/>
    <w:next w:val="1"/>
    <w:link w:val="166"/>
    <w:qFormat/>
    <w:uiPriority w:val="0"/>
    <w:pPr>
      <w:numPr>
        <w:ilvl w:val="7"/>
      </w:numPr>
      <w:outlineLvl w:val="7"/>
    </w:pPr>
  </w:style>
  <w:style w:type="paragraph" w:styleId="11">
    <w:name w:val="heading 9"/>
    <w:basedOn w:val="10"/>
    <w:next w:val="1"/>
    <w:link w:val="160"/>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99"/>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99"/>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1"/>
    <w:link w:val="2"/>
    <w:qFormat/>
    <w:uiPriority w:val="0"/>
    <w:rPr>
      <w:rFonts w:ascii="Arial" w:hAnsi="Arial"/>
      <w:sz w:val="36"/>
      <w:lang w:val="en-GB" w:eastAsia="en-US"/>
    </w:rPr>
  </w:style>
  <w:style w:type="character" w:customStyle="1" w:styleId="105">
    <w:name w:val="标题 2 Char1"/>
    <w:link w:val="3"/>
    <w:qFormat/>
    <w:uiPriority w:val="0"/>
    <w:rPr>
      <w:rFonts w:ascii="Arial" w:hAnsi="Arial"/>
      <w:sz w:val="32"/>
      <w:lang w:val="en-GB" w:eastAsia="en-US"/>
    </w:rPr>
  </w:style>
  <w:style w:type="character" w:customStyle="1" w:styleId="106">
    <w:name w:val="标题 3 Char1"/>
    <w:link w:val="4"/>
    <w:qFormat/>
    <w:uiPriority w:val="0"/>
    <w:rPr>
      <w:rFonts w:ascii="Arial" w:hAnsi="Arial"/>
      <w:sz w:val="28"/>
      <w:lang w:val="en-GB" w:eastAsia="en-US"/>
    </w:rPr>
  </w:style>
  <w:style w:type="character" w:customStyle="1" w:styleId="107">
    <w:name w:val="标题 4 Char1"/>
    <w:link w:val="5"/>
    <w:qFormat/>
    <w:uiPriority w:val="0"/>
    <w:rPr>
      <w:rFonts w:ascii="Arial" w:hAnsi="Arial"/>
      <w:sz w:val="24"/>
      <w:lang w:val="en-GB" w:eastAsia="en-US"/>
    </w:rPr>
  </w:style>
  <w:style w:type="character" w:customStyle="1" w:styleId="108">
    <w:name w:val="Heading 5 Char"/>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List Paragraph1"/>
    <w:basedOn w:val="1"/>
    <w:qFormat/>
    <w:uiPriority w:val="99"/>
    <w:pPr>
      <w:overflowPunct/>
      <w:autoSpaceDE/>
      <w:autoSpaceDN/>
      <w:adjustRightInd/>
      <w:spacing w:after="120"/>
      <w:ind w:left="720" w:hanging="360"/>
      <w:textAlignment w:val="auto"/>
    </w:pPr>
    <w:rPr>
      <w:rFonts w:eastAsia="Calibri"/>
      <w:szCs w:val="22"/>
      <w:lang w:val="en-GB"/>
    </w:rPr>
  </w:style>
  <w:style w:type="paragraph" w:customStyle="1" w:styleId="159">
    <w:name w:val="正文3"/>
    <w:qFormat/>
    <w:uiPriority w:val="0"/>
    <w:pPr>
      <w:widowControl w:val="0"/>
      <w:jc w:val="both"/>
    </w:pPr>
    <w:rPr>
      <w:rFonts w:ascii="Times New Roman" w:hAnsi="Times New Roman" w:eastAsia="宋体" w:cs="Times New Roman"/>
      <w:kern w:val="2"/>
      <w:sz w:val="21"/>
      <w:szCs w:val="21"/>
      <w:lang w:val="en-US" w:eastAsia="zh-CN" w:bidi="ar-SA"/>
    </w:rPr>
  </w:style>
  <w:style w:type="character" w:customStyle="1" w:styleId="160">
    <w:name w:val="标题 9 Char"/>
    <w:basedOn w:val="52"/>
    <w:link w:val="11"/>
    <w:qFormat/>
    <w:uiPriority w:val="0"/>
    <w:rPr>
      <w:rFonts w:hint="default" w:ascii="Arial" w:hAnsi="Arial" w:eastAsia="Batang" w:cs="Arial"/>
      <w:sz w:val="22"/>
      <w:szCs w:val="22"/>
      <w:lang w:val="en-US"/>
    </w:rPr>
  </w:style>
  <w:style w:type="character" w:customStyle="1" w:styleId="161">
    <w:name w:val="标题 7 Char"/>
    <w:basedOn w:val="52"/>
    <w:link w:val="9"/>
    <w:qFormat/>
    <w:uiPriority w:val="0"/>
    <w:rPr>
      <w:rFonts w:hint="default" w:ascii="Times New Roman" w:hAnsi="Times New Roman" w:eastAsia="Batang" w:cs="Times New Roman"/>
      <w:sz w:val="24"/>
      <w:szCs w:val="24"/>
      <w:lang w:val="en-US"/>
    </w:rPr>
  </w:style>
  <w:style w:type="character" w:customStyle="1" w:styleId="162">
    <w:name w:val="标题 1 Char"/>
    <w:basedOn w:val="52"/>
    <w:qFormat/>
    <w:uiPriority w:val="0"/>
    <w:rPr>
      <w:rFonts w:hint="default" w:ascii="Arial" w:hAnsi="Arial" w:eastAsia="Batang" w:cs="Arial"/>
      <w:b/>
      <w:kern w:val="32"/>
      <w:sz w:val="32"/>
      <w:szCs w:val="32"/>
      <w:lang w:val="en-US"/>
    </w:rPr>
  </w:style>
  <w:style w:type="character" w:customStyle="1" w:styleId="163">
    <w:name w:val="标题 2 Char"/>
    <w:basedOn w:val="52"/>
    <w:qFormat/>
    <w:uiPriority w:val="0"/>
    <w:rPr>
      <w:rFonts w:hint="default" w:ascii="Arial" w:hAnsi="Arial" w:eastAsia="Batang" w:cs="Arial"/>
      <w:b/>
      <w:i/>
      <w:sz w:val="24"/>
      <w:szCs w:val="28"/>
      <w:lang w:val="en-US"/>
    </w:rPr>
  </w:style>
  <w:style w:type="character" w:customStyle="1" w:styleId="164">
    <w:name w:val="标题 3 Char"/>
    <w:basedOn w:val="52"/>
    <w:qFormat/>
    <w:uiPriority w:val="0"/>
    <w:rPr>
      <w:rFonts w:hint="default" w:ascii="Arial" w:hAnsi="Arial" w:eastAsia="Batang" w:cs="Arial"/>
      <w:b/>
      <w:szCs w:val="26"/>
      <w:lang w:val="en-US"/>
    </w:rPr>
  </w:style>
  <w:style w:type="character" w:customStyle="1" w:styleId="165">
    <w:name w:val="标题 4 Char"/>
    <w:basedOn w:val="52"/>
    <w:qFormat/>
    <w:uiPriority w:val="0"/>
    <w:rPr>
      <w:rFonts w:hint="default" w:ascii="Arial" w:hAnsi="Arial" w:eastAsia="Batang" w:cs="Arial"/>
      <w:b/>
      <w:i/>
      <w:szCs w:val="26"/>
      <w:lang w:val="en-US"/>
    </w:rPr>
  </w:style>
  <w:style w:type="character" w:customStyle="1" w:styleId="166">
    <w:name w:val="标题 8 Char"/>
    <w:basedOn w:val="52"/>
    <w:link w:val="10"/>
    <w:qFormat/>
    <w:uiPriority w:val="0"/>
    <w:rPr>
      <w:rFonts w:hint="default" w:ascii="Times New Roman" w:hAnsi="Times New Roman" w:eastAsia="Batang" w:cs="Times New Roman"/>
      <w:i/>
      <w:sz w:val="24"/>
      <w:szCs w:val="24"/>
      <w:lang w:val="en-US"/>
    </w:rPr>
  </w:style>
  <w:style w:type="character" w:customStyle="1" w:styleId="167">
    <w:name w:val="标题 5 Char"/>
    <w:basedOn w:val="52"/>
    <w:link w:val="6"/>
    <w:qFormat/>
    <w:uiPriority w:val="0"/>
    <w:rPr>
      <w:rFonts w:hint="default" w:ascii="Arial" w:hAnsi="Arial" w:eastAsia="Batang" w:cs="Arial"/>
      <w:b/>
      <w:iCs/>
      <w:sz w:val="18"/>
      <w:szCs w:val="26"/>
      <w:lang w:val="en-US"/>
    </w:rPr>
  </w:style>
  <w:style w:type="character" w:customStyle="1" w:styleId="168">
    <w:name w:val="标题 6 Char"/>
    <w:basedOn w:val="52"/>
    <w:link w:val="7"/>
    <w:qFormat/>
    <w:uiPriority w:val="0"/>
    <w:rPr>
      <w:rFonts w:hint="default" w:ascii="Times New Roman" w:hAnsi="Times New Roman" w:eastAsia="Batang" w:cs="Times New Roman"/>
      <w:b/>
      <w:i/>
      <w:szCs w:val="22"/>
      <w:lang w:val="en-US"/>
    </w:rPr>
  </w:style>
  <w:style w:type="character" w:customStyle="1" w:styleId="169">
    <w:name w:val="ListLabel 115"/>
    <w:qFormat/>
    <w:uiPriority w:val="0"/>
    <w:rPr>
      <w:rFonts w:cs="Wingdings"/>
    </w:rPr>
  </w:style>
  <w:style w:type="character" w:customStyle="1" w:styleId="170">
    <w:name w:val="colour"/>
    <w:basedOn w:val="52"/>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385A79-57B7-4B12-A118-01068CA3D0F1}">
  <ds:schemaRefs/>
</ds:datastoreItem>
</file>

<file path=customXml/itemProps3.xml><?xml version="1.0" encoding="utf-8"?>
<ds:datastoreItem xmlns:ds="http://schemas.openxmlformats.org/officeDocument/2006/customXml" ds:itemID="{04BF5348-08CE-46A2-B6C7-D667930F0DC1}">
  <ds:schemaRefs/>
</ds:datastoreItem>
</file>

<file path=customXml/itemProps4.xml><?xml version="1.0" encoding="utf-8"?>
<ds:datastoreItem xmlns:ds="http://schemas.openxmlformats.org/officeDocument/2006/customXml" ds:itemID="{DE437376-A7B6-47B7-A9FE-9D6C62534131}">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4F156B33-FE54-4BF7-8206-606715473FFD}">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8</Pages>
  <Words>3036</Words>
  <Characters>17310</Characters>
  <Lines>144</Lines>
  <Paragraphs>40</Paragraphs>
  <TotalTime>0</TotalTime>
  <ScaleCrop>false</ScaleCrop>
  <LinksUpToDate>false</LinksUpToDate>
  <CharactersWithSpaces>20306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2020-10-16T11:08:00Z</dcterms:created>
  <dc:creator>ZTE Corporation</dc:creator>
  <cp:lastModifiedBy>ZTE</cp:lastModifiedBy>
  <cp:lastPrinted>2018-04-07T03:05:00Z</cp:lastPrinted>
  <dcterms:modified xsi:type="dcterms:W3CDTF">2022-08-12T15:28:52Z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